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horzAnchor="margin" w:tblpXSpec="center" w:tblpY="-450"/>
        <w:tblW w:w="11066"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23"/>
        <w:gridCol w:w="2046"/>
        <w:gridCol w:w="2697"/>
      </w:tblGrid>
      <w:tr w:rsidR="00B86BA6" w14:paraId="18B80068" w14:textId="77777777" w:rsidTr="000563BB">
        <w:trPr>
          <w:trHeight w:val="1041"/>
        </w:trPr>
        <w:tc>
          <w:tcPr>
            <w:tcW w:w="6323" w:type="dxa"/>
          </w:tcPr>
          <w:p w14:paraId="783483AB" w14:textId="56A3649B" w:rsidR="00F6284D" w:rsidRPr="000563BB" w:rsidRDefault="00F03271" w:rsidP="000563BB">
            <w:pPr>
              <w:autoSpaceDE w:val="0"/>
              <w:autoSpaceDN w:val="0"/>
              <w:adjustRightInd w:val="0"/>
              <w:spacing w:before="600"/>
              <w:rPr>
                <w:noProof/>
                <w:rtl/>
                <w:lang w:bidi="ar-MA"/>
              </w:rPr>
            </w:pPr>
            <w:bookmarkStart w:id="0" w:name="_GoBack"/>
            <w:bookmarkEnd w:id="0"/>
            <w:r>
              <w:rPr>
                <w:rFonts w:ascii="Calibri" w:eastAsia="Times New Roman" w:hAnsi="Calibri" w:cs="Arial"/>
                <w:b/>
                <w:noProof/>
                <w:sz w:val="20"/>
                <w:szCs w:val="20"/>
                <w:u w:val="single"/>
              </w:rPr>
              <w:drawing>
                <wp:anchor distT="0" distB="0" distL="114300" distR="114300" simplePos="0" relativeHeight="251660288" behindDoc="0" locked="0" layoutInCell="1" allowOverlap="1" wp14:anchorId="7378CBA3" wp14:editId="745C999E">
                  <wp:simplePos x="0" y="0"/>
                  <wp:positionH relativeFrom="column">
                    <wp:posOffset>3488055</wp:posOffset>
                  </wp:positionH>
                  <wp:positionV relativeFrom="paragraph">
                    <wp:posOffset>66040</wp:posOffset>
                  </wp:positionV>
                  <wp:extent cx="1200150" cy="638175"/>
                  <wp:effectExtent l="0" t="0" r="0" b="9525"/>
                  <wp:wrapNone/>
                  <wp:docPr id="3" name="Picture 2" descr="sg_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_lang"/>
                          <pic:cNvPicPr>
                            <a:picLocks noChangeAspect="1" noChangeArrowheads="1"/>
                          </pic:cNvPicPr>
                        </pic:nvPicPr>
                        <pic:blipFill>
                          <a:blip r:embed="rId9" cstate="print"/>
                          <a:srcRect l="-737" r="72415" b="55475"/>
                          <a:stretch>
                            <a:fillRect/>
                          </a:stretch>
                        </pic:blipFill>
                        <pic:spPr bwMode="auto">
                          <a:xfrm>
                            <a:off x="0" y="0"/>
                            <a:ext cx="1200150" cy="638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6284D">
              <w:rPr>
                <w:rFonts w:ascii="Calibri" w:eastAsia="Times New Roman" w:hAnsi="Calibri" w:cs="Arial"/>
                <w:b/>
                <w:noProof/>
                <w:sz w:val="20"/>
                <w:szCs w:val="20"/>
                <w:u w:val="single"/>
              </w:rPr>
              <w:t xml:space="preserve">  </w:t>
            </w:r>
            <w:r w:rsidR="00DA1518">
              <w:rPr>
                <w:noProof/>
              </w:rPr>
              <w:t xml:space="preserve">  </w:t>
            </w:r>
            <w:r w:rsidR="000563BB">
              <w:rPr>
                <w:noProof/>
              </w:rPr>
              <w:t xml:space="preserve"> </w:t>
            </w:r>
          </w:p>
        </w:tc>
        <w:tc>
          <w:tcPr>
            <w:tcW w:w="2046" w:type="dxa"/>
          </w:tcPr>
          <w:p w14:paraId="328C4702" w14:textId="33BEF456" w:rsidR="00B86BA6" w:rsidRDefault="00B86BA6" w:rsidP="00DB51A6">
            <w:pPr>
              <w:autoSpaceDE w:val="0"/>
              <w:autoSpaceDN w:val="0"/>
              <w:adjustRightInd w:val="0"/>
              <w:spacing w:before="600"/>
              <w:jc w:val="right"/>
              <w:rPr>
                <w:rFonts w:cs="Times New Roman"/>
                <w:color w:val="231F20"/>
                <w:sz w:val="24"/>
                <w:szCs w:val="24"/>
              </w:rPr>
            </w:pPr>
          </w:p>
        </w:tc>
        <w:tc>
          <w:tcPr>
            <w:tcW w:w="2697" w:type="dxa"/>
            <w:vAlign w:val="center"/>
          </w:tcPr>
          <w:p w14:paraId="4A8CDAF0" w14:textId="3FB046C8" w:rsidR="00B86BA6" w:rsidRDefault="00F6284D" w:rsidP="00DB51A6">
            <w:pPr>
              <w:autoSpaceDE w:val="0"/>
              <w:autoSpaceDN w:val="0"/>
              <w:adjustRightInd w:val="0"/>
              <w:spacing w:before="600"/>
              <w:jc w:val="center"/>
              <w:rPr>
                <w:rFonts w:ascii="Calibri" w:eastAsia="Times New Roman" w:hAnsi="Calibri" w:cs="Arial"/>
                <w:b/>
                <w:noProof/>
                <w:sz w:val="20"/>
                <w:szCs w:val="20"/>
                <w:u w:val="single"/>
              </w:rPr>
            </w:pPr>
            <w:r>
              <w:rPr>
                <w:rFonts w:ascii="Calibri" w:eastAsia="Times New Roman" w:hAnsi="Calibri" w:cs="Arial"/>
                <w:b/>
                <w:noProof/>
                <w:sz w:val="20"/>
                <w:szCs w:val="20"/>
                <w:u w:val="single"/>
              </w:rPr>
              <w:drawing>
                <wp:anchor distT="0" distB="0" distL="114300" distR="114300" simplePos="0" relativeHeight="251661312" behindDoc="0" locked="0" layoutInCell="1" allowOverlap="1" wp14:anchorId="51B6C0C2" wp14:editId="42F3F6E7">
                  <wp:simplePos x="0" y="0"/>
                  <wp:positionH relativeFrom="column">
                    <wp:posOffset>17145</wp:posOffset>
                  </wp:positionH>
                  <wp:positionV relativeFrom="paragraph">
                    <wp:posOffset>-384175</wp:posOffset>
                  </wp:positionV>
                  <wp:extent cx="1535430" cy="532765"/>
                  <wp:effectExtent l="0" t="0" r="7620" b="63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op belge - HD_F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5430" cy="532765"/>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Times New Roman" w:hAnsi="Calibri" w:cs="Arial"/>
                <w:b/>
                <w:noProof/>
                <w:sz w:val="20"/>
                <w:szCs w:val="20"/>
                <w:u w:val="single"/>
              </w:rPr>
              <w:t xml:space="preserve">  </w:t>
            </w:r>
            <w:r w:rsidR="00DA1518">
              <w:rPr>
                <w:rFonts w:ascii="Calibri" w:eastAsia="Times New Roman" w:hAnsi="Calibri" w:cs="Arial"/>
                <w:b/>
                <w:noProof/>
                <w:sz w:val="20"/>
                <w:szCs w:val="20"/>
                <w:u w:val="single"/>
              </w:rPr>
              <w:t xml:space="preserve">  </w:t>
            </w:r>
          </w:p>
        </w:tc>
      </w:tr>
    </w:tbl>
    <w:p w14:paraId="49D901CD" w14:textId="2FD7B49A" w:rsidR="004D74B6" w:rsidRPr="00F03271" w:rsidRDefault="000563BB" w:rsidP="001E7916">
      <w:pPr>
        <w:autoSpaceDE w:val="0"/>
        <w:autoSpaceDN w:val="0"/>
        <w:adjustRightInd w:val="0"/>
        <w:spacing w:after="0" w:line="240" w:lineRule="auto"/>
        <w:jc w:val="center"/>
        <w:rPr>
          <w:rFonts w:cs="Times New Roman"/>
          <w:b/>
          <w:color w:val="231F20"/>
          <w:sz w:val="24"/>
          <w:szCs w:val="24"/>
        </w:rPr>
      </w:pPr>
      <w:r>
        <w:rPr>
          <w:rFonts w:cs="Times New Roman"/>
          <w:bCs/>
          <w:noProof/>
        </w:rPr>
        <mc:AlternateContent>
          <mc:Choice Requires="wps">
            <w:drawing>
              <wp:anchor distT="0" distB="0" distL="114300" distR="114300" simplePos="0" relativeHeight="251662336" behindDoc="0" locked="0" layoutInCell="1" allowOverlap="1" wp14:anchorId="05F389AC" wp14:editId="0F99FA55">
                <wp:simplePos x="0" y="0"/>
                <wp:positionH relativeFrom="column">
                  <wp:posOffset>-633095</wp:posOffset>
                </wp:positionH>
                <wp:positionV relativeFrom="paragraph">
                  <wp:posOffset>-287655</wp:posOffset>
                </wp:positionV>
                <wp:extent cx="3276600" cy="70485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3276600"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08BFD8" w14:textId="28BD8AA1" w:rsidR="000563BB" w:rsidRPr="000563BB" w:rsidRDefault="000563BB">
                            <w:r w:rsidRPr="000563BB">
                              <w:rPr>
                                <w:noProof/>
                              </w:rPr>
                              <w:drawing>
                                <wp:inline distT="0" distB="0" distL="0" distR="0" wp14:anchorId="0A7C13F0" wp14:editId="5515A2AC">
                                  <wp:extent cx="3057525" cy="657225"/>
                                  <wp:effectExtent l="0" t="0" r="9525" b="9525"/>
                                  <wp:docPr id="8" name="Image 8" descr="C:\Users\naziha\AppData\Local\Temp\new logo 201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ziha\AppData\Local\Temp\new logo 2017-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0704" cy="65790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5F389AC" id="_x0000_t202" coordsize="21600,21600" o:spt="202" path="m,l,21600r21600,l21600,xe">
                <v:stroke joinstyle="miter"/>
                <v:path gradientshapeok="t" o:connecttype="rect"/>
              </v:shapetype>
              <v:shape id="Zone de texte 2" o:spid="_x0000_s1026" type="#_x0000_t202" style="position:absolute;left:0;text-align:left;margin-left:-49.85pt;margin-top:-22.65pt;width:258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" fillcolor="white [3201]" stroked="f" strokeweight=".5pt">
                <v:textbox>
                  <w:txbxContent>
                    <w:p w14:paraId="1708BFD8" w14:textId="28BD8AA1" w:rsidR="000563BB" w:rsidRPr="000563BB" w:rsidRDefault="000563BB">
                      <w:r w:rsidRPr="000563BB">
                        <w:rPr>
                          <w:noProof/>
                        </w:rPr>
                        <w:drawing>
                          <wp:inline distT="0" distB="0" distL="0" distR="0" wp14:anchorId="0A7C13F0" wp14:editId="5515A2AC">
                            <wp:extent cx="3057525" cy="657225"/>
                            <wp:effectExtent l="0" t="0" r="9525" b="9525"/>
                            <wp:docPr id="8" name="Image 8" descr="C:\Users\naziha\AppData\Local\Temp\new logo 201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ziha\AppData\Local\Temp\new logo 2017-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0704" cy="657908"/>
                                    </a:xfrm>
                                    <a:prstGeom prst="rect">
                                      <a:avLst/>
                                    </a:prstGeom>
                                    <a:noFill/>
                                    <a:ln>
                                      <a:noFill/>
                                    </a:ln>
                                  </pic:spPr>
                                </pic:pic>
                              </a:graphicData>
                            </a:graphic>
                          </wp:inline>
                        </w:drawing>
                      </w:r>
                    </w:p>
                  </w:txbxContent>
                </v:textbox>
              </v:shape>
            </w:pict>
          </mc:Fallback>
        </mc:AlternateContent>
      </w:r>
      <w:r w:rsidR="0003062F" w:rsidRPr="00B86BA6">
        <w:rPr>
          <w:rFonts w:cs="Times New Roman"/>
          <w:b/>
          <w:color w:val="231F20"/>
          <w:sz w:val="24"/>
          <w:szCs w:val="24"/>
        </w:rPr>
        <w:t xml:space="preserve">Appel à </w:t>
      </w:r>
      <w:r w:rsidR="00557D21" w:rsidRPr="00B86BA6">
        <w:rPr>
          <w:rFonts w:cs="Times New Roman"/>
          <w:b/>
          <w:color w:val="231F20"/>
          <w:sz w:val="24"/>
          <w:szCs w:val="24"/>
        </w:rPr>
        <w:t>Consultation</w:t>
      </w:r>
      <w:r w:rsidR="00D94BD7" w:rsidRPr="00B86BA6">
        <w:rPr>
          <w:rFonts w:cs="Times New Roman"/>
          <w:b/>
          <w:color w:val="231F20"/>
          <w:sz w:val="24"/>
          <w:szCs w:val="24"/>
        </w:rPr>
        <w:t xml:space="preserve"> </w:t>
      </w:r>
      <w:r w:rsidR="00071EAE" w:rsidRPr="00B86BA6">
        <w:rPr>
          <w:rFonts w:cs="Times New Roman"/>
          <w:b/>
          <w:color w:val="231F20"/>
          <w:sz w:val="24"/>
          <w:szCs w:val="24"/>
        </w:rPr>
        <w:t>pour</w:t>
      </w:r>
      <w:r w:rsidR="00B86BA6" w:rsidRPr="00B86BA6">
        <w:rPr>
          <w:rFonts w:cs="Times New Roman"/>
          <w:b/>
          <w:color w:val="231F20"/>
          <w:sz w:val="24"/>
          <w:szCs w:val="24"/>
        </w:rPr>
        <w:t xml:space="preserve"> l</w:t>
      </w:r>
      <w:r w:rsidR="00071EAE">
        <w:rPr>
          <w:rFonts w:cs="Times New Roman"/>
          <w:b/>
          <w:color w:val="231F20"/>
          <w:sz w:val="24"/>
          <w:szCs w:val="24"/>
        </w:rPr>
        <w:t>’</w:t>
      </w:r>
      <w:r w:rsidR="00B86BA6">
        <w:rPr>
          <w:rFonts w:cs="Times New Roman"/>
          <w:b/>
          <w:color w:val="231F20"/>
          <w:sz w:val="24"/>
          <w:szCs w:val="24"/>
        </w:rPr>
        <w:t>é</w:t>
      </w:r>
      <w:r w:rsidR="00255C22" w:rsidRPr="00C6623D">
        <w:rPr>
          <w:rFonts w:cs="Times New Roman"/>
          <w:b/>
          <w:color w:val="231F20"/>
          <w:sz w:val="24"/>
          <w:szCs w:val="24"/>
        </w:rPr>
        <w:t>laboration</w:t>
      </w:r>
      <w:r w:rsidR="00D94BD7" w:rsidRPr="00C6623D">
        <w:rPr>
          <w:rFonts w:cs="Times New Roman"/>
          <w:b/>
          <w:color w:val="231F20"/>
          <w:sz w:val="24"/>
          <w:szCs w:val="24"/>
        </w:rPr>
        <w:t xml:space="preserve"> </w:t>
      </w:r>
      <w:r w:rsidR="00206A70" w:rsidRPr="00C6623D">
        <w:rPr>
          <w:rFonts w:cs="Times New Roman"/>
          <w:b/>
          <w:color w:val="231F20"/>
          <w:sz w:val="24"/>
          <w:szCs w:val="24"/>
        </w:rPr>
        <w:t xml:space="preserve">d’un plan et </w:t>
      </w:r>
      <w:r w:rsidR="00071EAE">
        <w:rPr>
          <w:rFonts w:cs="Times New Roman"/>
          <w:b/>
          <w:color w:val="231F20"/>
          <w:sz w:val="24"/>
          <w:szCs w:val="24"/>
        </w:rPr>
        <w:t xml:space="preserve">des </w:t>
      </w:r>
      <w:r w:rsidR="00206A70" w:rsidRPr="00C6623D">
        <w:rPr>
          <w:rFonts w:cs="Times New Roman"/>
          <w:b/>
          <w:color w:val="231F20"/>
          <w:sz w:val="24"/>
          <w:szCs w:val="24"/>
        </w:rPr>
        <w:t xml:space="preserve">supports </w:t>
      </w:r>
      <w:r w:rsidR="00D94BD7" w:rsidRPr="00C6623D">
        <w:rPr>
          <w:rFonts w:cs="Times New Roman"/>
          <w:b/>
          <w:color w:val="231F20"/>
          <w:sz w:val="24"/>
          <w:szCs w:val="24"/>
        </w:rPr>
        <w:t>de communication sur la loi</w:t>
      </w:r>
      <w:r w:rsidR="00845F56" w:rsidRPr="00C6623D">
        <w:rPr>
          <w:rFonts w:cs="Times New Roman"/>
          <w:b/>
          <w:color w:val="231F20"/>
          <w:sz w:val="24"/>
          <w:szCs w:val="24"/>
        </w:rPr>
        <w:t xml:space="preserve"> </w:t>
      </w:r>
      <w:r w:rsidR="00845F56" w:rsidRPr="00B86BA6">
        <w:rPr>
          <w:rFonts w:cs="Times New Roman"/>
          <w:b/>
          <w:color w:val="231F20"/>
          <w:sz w:val="24"/>
          <w:szCs w:val="24"/>
        </w:rPr>
        <w:t xml:space="preserve">103.13 </w:t>
      </w:r>
      <w:r w:rsidR="00206A70" w:rsidRPr="00B86BA6">
        <w:rPr>
          <w:rFonts w:cs="Times New Roman"/>
          <w:b/>
          <w:color w:val="231F20"/>
          <w:sz w:val="24"/>
          <w:szCs w:val="24"/>
        </w:rPr>
        <w:t>relative</w:t>
      </w:r>
      <w:r w:rsidR="00206A70" w:rsidRPr="00B86BA6">
        <w:rPr>
          <w:rFonts w:cs="Times New Roman"/>
          <w:b/>
          <w:color w:val="231F20"/>
          <w:sz w:val="24"/>
          <w:szCs w:val="24"/>
          <w:rtl/>
        </w:rPr>
        <w:t xml:space="preserve"> </w:t>
      </w:r>
      <w:r w:rsidR="00845F56" w:rsidRPr="00B86BA6">
        <w:rPr>
          <w:rFonts w:cs="Times New Roman"/>
          <w:b/>
          <w:color w:val="231F20"/>
          <w:sz w:val="24"/>
          <w:szCs w:val="24"/>
        </w:rPr>
        <w:t>à la lutte contre la violence à l'égard des femmes</w:t>
      </w:r>
      <w:r w:rsidR="00D94BD7" w:rsidRPr="00C6623D">
        <w:rPr>
          <w:rFonts w:cs="Times New Roman"/>
          <w:b/>
          <w:color w:val="231F20"/>
          <w:sz w:val="24"/>
          <w:szCs w:val="24"/>
        </w:rPr>
        <w:t xml:space="preserve"> et ses mesures d’accompagnement</w:t>
      </w:r>
      <w:r w:rsidR="00845F56" w:rsidRPr="00C6623D">
        <w:rPr>
          <w:rFonts w:cs="Times New Roman"/>
          <w:b/>
          <w:color w:val="231F20"/>
          <w:sz w:val="24"/>
          <w:szCs w:val="24"/>
        </w:rPr>
        <w:t xml:space="preserve"> </w:t>
      </w:r>
    </w:p>
    <w:p w14:paraId="5B1BD8D6" w14:textId="50E0F451" w:rsidR="001C2F27" w:rsidRPr="00F03271" w:rsidRDefault="00B86BA6" w:rsidP="00F03271">
      <w:pPr>
        <w:autoSpaceDE w:val="0"/>
        <w:autoSpaceDN w:val="0"/>
        <w:adjustRightInd w:val="0"/>
        <w:spacing w:after="0" w:line="240" w:lineRule="auto"/>
        <w:jc w:val="center"/>
        <w:rPr>
          <w:rFonts w:cs="Times New Roman"/>
          <w:b/>
          <w:color w:val="231F20"/>
          <w:sz w:val="28"/>
          <w:szCs w:val="28"/>
          <w:u w:val="single"/>
        </w:rPr>
      </w:pPr>
      <w:r w:rsidRPr="00A94326">
        <w:rPr>
          <w:rFonts w:cs="Times New Roman"/>
          <w:b/>
          <w:color w:val="231F20"/>
          <w:sz w:val="28"/>
          <w:szCs w:val="28"/>
          <w:u w:val="single"/>
        </w:rPr>
        <w:t>- Termes de référence -</w:t>
      </w:r>
    </w:p>
    <w:p w14:paraId="565A6681" w14:textId="77777777" w:rsidR="001C2F27" w:rsidRPr="00696E9E" w:rsidRDefault="00917335" w:rsidP="00696E9E">
      <w:pPr>
        <w:pStyle w:val="Heading1"/>
      </w:pPr>
      <w:r w:rsidRPr="00696E9E">
        <w:t>C</w:t>
      </w:r>
      <w:r w:rsidR="00A315D9" w:rsidRPr="00696E9E">
        <w:t>ontexte et Justifications</w:t>
      </w:r>
    </w:p>
    <w:p w14:paraId="651B37C1" w14:textId="77FC9471" w:rsidR="00484930" w:rsidRPr="00696E9E" w:rsidRDefault="00484930" w:rsidP="005E534A">
      <w:pPr>
        <w:spacing w:before="240" w:after="0" w:line="360" w:lineRule="auto"/>
        <w:jc w:val="both"/>
        <w:outlineLvl w:val="0"/>
        <w:rPr>
          <w:rFonts w:cs="Times New Roman"/>
          <w:bCs/>
        </w:rPr>
      </w:pPr>
      <w:r w:rsidRPr="00696E9E">
        <w:rPr>
          <w:rFonts w:cs="Times New Roman"/>
          <w:bCs/>
        </w:rPr>
        <w:t xml:space="preserve">Le Maroc figure parmi les premiers pays qui se sont engagés dans la lutte contre le phénomène de la violence à l’égard des femmes et des filles, grâce l’implication du gouvernement et de la société civile. </w:t>
      </w:r>
    </w:p>
    <w:p w14:paraId="6036DF99" w14:textId="059F2109" w:rsidR="00484930" w:rsidRPr="00696E9E" w:rsidRDefault="00484930" w:rsidP="005E534A">
      <w:pPr>
        <w:spacing w:before="240" w:after="0" w:line="360" w:lineRule="auto"/>
        <w:jc w:val="both"/>
        <w:outlineLvl w:val="0"/>
        <w:rPr>
          <w:rFonts w:cs="Times New Roman"/>
          <w:bCs/>
        </w:rPr>
      </w:pPr>
      <w:r w:rsidRPr="00696E9E">
        <w:rPr>
          <w:rFonts w:cs="Times New Roman"/>
          <w:bCs/>
        </w:rPr>
        <w:t xml:space="preserve">La Constitution de 2011 est venue pour garantir l'intégrité physique et morale des individus, en stipulant « qu’il est interdit de toucher à l'intégrité physique ou morale de toute personne, en toute circonstance et par n’importe quelle partie qu’elle soit publique ou privée », tout comme « il est interdit qu’une personne fasse subir à une autre personne sous n’importe quel prétexte un traitement cruel, inhumain ou dégradant». Il s’agit d’un fondement constitutionnel qui oblige d'assurer une protection juridique pour les femmes victimes de violence, et </w:t>
      </w:r>
      <w:r w:rsidR="00690E1A" w:rsidRPr="00696E9E">
        <w:rPr>
          <w:rFonts w:cs="Times New Roman"/>
          <w:bCs/>
        </w:rPr>
        <w:t>d’accompagner la</w:t>
      </w:r>
      <w:r w:rsidRPr="00696E9E">
        <w:rPr>
          <w:rFonts w:cs="Times New Roman"/>
          <w:bCs/>
        </w:rPr>
        <w:t xml:space="preserve"> société pour qu’elle </w:t>
      </w:r>
      <w:r w:rsidR="00B205B6" w:rsidRPr="00696E9E">
        <w:rPr>
          <w:rFonts w:cs="Times New Roman"/>
          <w:bCs/>
        </w:rPr>
        <w:t>contribue à la tolérance zéro de ce phénomène social</w:t>
      </w:r>
      <w:r w:rsidR="00690E1A" w:rsidRPr="00696E9E">
        <w:rPr>
          <w:rFonts w:cs="Times New Roman"/>
          <w:bCs/>
        </w:rPr>
        <w:t>.</w:t>
      </w:r>
      <w:r w:rsidRPr="00696E9E">
        <w:rPr>
          <w:rFonts w:cs="Times New Roman"/>
          <w:bCs/>
        </w:rPr>
        <w:t xml:space="preserve"> </w:t>
      </w:r>
    </w:p>
    <w:p w14:paraId="165FF069" w14:textId="69009674" w:rsidR="00B86BA6" w:rsidRPr="00696E9E" w:rsidRDefault="00654583" w:rsidP="00DA1518">
      <w:pPr>
        <w:spacing w:before="240" w:after="0" w:line="360" w:lineRule="auto"/>
        <w:jc w:val="both"/>
        <w:outlineLvl w:val="0"/>
        <w:rPr>
          <w:rFonts w:cs="Times New Roman"/>
          <w:bCs/>
        </w:rPr>
      </w:pPr>
      <w:r w:rsidRPr="00696E9E">
        <w:rPr>
          <w:rFonts w:cs="Times New Roman"/>
          <w:bCs/>
        </w:rPr>
        <w:t xml:space="preserve">Et </w:t>
      </w:r>
      <w:r w:rsidR="00206A70" w:rsidRPr="00696E9E">
        <w:rPr>
          <w:rFonts w:cs="Times New Roman"/>
          <w:bCs/>
        </w:rPr>
        <w:t>a</w:t>
      </w:r>
      <w:r w:rsidRPr="00696E9E">
        <w:rPr>
          <w:rFonts w:cs="Times New Roman"/>
          <w:bCs/>
        </w:rPr>
        <w:t xml:space="preserve">fin d’honorer </w:t>
      </w:r>
      <w:r w:rsidR="00350B2E" w:rsidRPr="00696E9E">
        <w:rPr>
          <w:rFonts w:cs="Times New Roman"/>
          <w:bCs/>
        </w:rPr>
        <w:t>l</w:t>
      </w:r>
      <w:r w:rsidRPr="00696E9E">
        <w:rPr>
          <w:rFonts w:cs="Times New Roman"/>
          <w:bCs/>
        </w:rPr>
        <w:t xml:space="preserve">es engagements </w:t>
      </w:r>
      <w:r w:rsidR="00350B2E" w:rsidRPr="00696E9E">
        <w:rPr>
          <w:rFonts w:cs="Times New Roman"/>
          <w:bCs/>
        </w:rPr>
        <w:t xml:space="preserve">du Maroc </w:t>
      </w:r>
      <w:r w:rsidRPr="00696E9E">
        <w:rPr>
          <w:rFonts w:cs="Times New Roman"/>
          <w:bCs/>
        </w:rPr>
        <w:t>en matière de mise en conformité de so</w:t>
      </w:r>
      <w:r w:rsidR="00206A70" w:rsidRPr="00696E9E">
        <w:rPr>
          <w:rFonts w:cs="Times New Roman"/>
          <w:bCs/>
        </w:rPr>
        <w:t>n arsenal juridique par rapport</w:t>
      </w:r>
      <w:r w:rsidRPr="00696E9E">
        <w:rPr>
          <w:rFonts w:cs="Times New Roman"/>
          <w:bCs/>
        </w:rPr>
        <w:t xml:space="preserve"> aux conventions internationales et </w:t>
      </w:r>
      <w:r w:rsidR="00206A70" w:rsidRPr="00696E9E">
        <w:rPr>
          <w:rFonts w:cs="Times New Roman"/>
          <w:bCs/>
        </w:rPr>
        <w:t>aux</w:t>
      </w:r>
      <w:r w:rsidRPr="00696E9E">
        <w:rPr>
          <w:rFonts w:cs="Times New Roman"/>
          <w:bCs/>
        </w:rPr>
        <w:t xml:space="preserve"> dispositions de la Constitution, le Ministère </w:t>
      </w:r>
      <w:r w:rsidR="00DA1518" w:rsidRPr="00696E9E">
        <w:rPr>
          <w:rFonts w:cs="Times New Roman"/>
          <w:bCs/>
        </w:rPr>
        <w:t>de la Famille</w:t>
      </w:r>
      <w:r w:rsidR="00DA1518">
        <w:rPr>
          <w:rFonts w:cs="Times New Roman"/>
          <w:bCs/>
        </w:rPr>
        <w:t>,</w:t>
      </w:r>
      <w:r w:rsidR="00DA1518" w:rsidRPr="00696E9E">
        <w:rPr>
          <w:rFonts w:cs="Times New Roman"/>
          <w:bCs/>
        </w:rPr>
        <w:t xml:space="preserve"> </w:t>
      </w:r>
      <w:r w:rsidRPr="00696E9E">
        <w:rPr>
          <w:rFonts w:cs="Times New Roman"/>
          <w:bCs/>
        </w:rPr>
        <w:t xml:space="preserve">de la Solidarité, de </w:t>
      </w:r>
      <w:r w:rsidR="00DA1518">
        <w:rPr>
          <w:rFonts w:cs="Times New Roman"/>
          <w:bCs/>
        </w:rPr>
        <w:t>l’Egalité</w:t>
      </w:r>
      <w:r w:rsidRPr="00696E9E">
        <w:rPr>
          <w:rFonts w:cs="Times New Roman"/>
          <w:bCs/>
        </w:rPr>
        <w:t xml:space="preserve"> et du </w:t>
      </w:r>
      <w:r w:rsidR="00206A70" w:rsidRPr="00696E9E">
        <w:rPr>
          <w:rFonts w:cs="Times New Roman"/>
          <w:bCs/>
        </w:rPr>
        <w:t>D</w:t>
      </w:r>
      <w:r w:rsidRPr="00696E9E">
        <w:rPr>
          <w:rFonts w:cs="Times New Roman"/>
          <w:bCs/>
        </w:rPr>
        <w:t xml:space="preserve">éveloppement Social, en collaboration avec le Ministère de la Justice et des Libertés et en concertation avec tous les acteurs concernés, a élaboré </w:t>
      </w:r>
      <w:r w:rsidRPr="00696E9E">
        <w:rPr>
          <w:rFonts w:cs="Times New Roman"/>
          <w:b/>
        </w:rPr>
        <w:t>le projet de la loi N°103.13 relatif à la lutte contre la violence à l'égard des femmes</w:t>
      </w:r>
      <w:r w:rsidR="00C101C1" w:rsidRPr="00696E9E">
        <w:rPr>
          <w:rFonts w:cs="Times New Roman"/>
          <w:b/>
        </w:rPr>
        <w:t xml:space="preserve">, </w:t>
      </w:r>
      <w:r w:rsidR="00C101C1" w:rsidRPr="00696E9E">
        <w:rPr>
          <w:rFonts w:cs="Times New Roman"/>
          <w:bCs/>
        </w:rPr>
        <w:t xml:space="preserve">qui a été adopté par le conseil du gouvernement le 17 mars 2016. Il a aussi été adopté par la première chambre </w:t>
      </w:r>
      <w:r w:rsidR="00350B2E" w:rsidRPr="00696E9E">
        <w:rPr>
          <w:rFonts w:cs="Times New Roman"/>
          <w:bCs/>
        </w:rPr>
        <w:t xml:space="preserve">du parlement </w:t>
      </w:r>
      <w:r w:rsidR="00C101C1" w:rsidRPr="00696E9E">
        <w:rPr>
          <w:rFonts w:cs="Times New Roman"/>
          <w:bCs/>
        </w:rPr>
        <w:t>le 21 juillet 2016 et son examen a été entamé au sein de la deuxième chambre.</w:t>
      </w:r>
      <w:r w:rsidR="00353FDE" w:rsidRPr="00696E9E">
        <w:rPr>
          <w:rFonts w:eastAsia="Times New Roman" w:cstheme="majorBidi"/>
          <w:bCs/>
          <w:spacing w:val="4"/>
          <w:lang w:eastAsia="en-US"/>
        </w:rPr>
        <w:t xml:space="preserve"> </w:t>
      </w:r>
      <w:r w:rsidR="00353FDE" w:rsidRPr="00696E9E">
        <w:rPr>
          <w:rFonts w:cs="Times New Roman"/>
          <w:bCs/>
        </w:rPr>
        <w:t>Ce</w:t>
      </w:r>
      <w:r w:rsidR="00B86BA6" w:rsidRPr="00696E9E">
        <w:rPr>
          <w:rFonts w:cs="Times New Roman"/>
          <w:bCs/>
        </w:rPr>
        <w:t xml:space="preserve"> </w:t>
      </w:r>
      <w:r w:rsidR="00353FDE" w:rsidRPr="00696E9E">
        <w:rPr>
          <w:rFonts w:cs="Times New Roman"/>
          <w:bCs/>
        </w:rPr>
        <w:t>Projet de loi définit un cadre conceptuel précis de la violence à l’égard des femmes, instaure des mécanismes de prise en charge des femmes victimes de violence et stipule de nouvelles mesures de protection dans le cadre de mesures procédurales</w:t>
      </w:r>
      <w:r w:rsidR="00B86BA6" w:rsidRPr="00696E9E">
        <w:rPr>
          <w:rFonts w:cs="Times New Roman"/>
          <w:bCs/>
        </w:rPr>
        <w:t xml:space="preserve">. Il </w:t>
      </w:r>
      <w:r w:rsidR="00353FDE" w:rsidRPr="00696E9E">
        <w:rPr>
          <w:rFonts w:cs="Times New Roman"/>
          <w:bCs/>
        </w:rPr>
        <w:t>énonce dans son article 2</w:t>
      </w:r>
      <w:r w:rsidR="00B86BA6" w:rsidRPr="00696E9E">
        <w:rPr>
          <w:rFonts w:cs="Times New Roman"/>
          <w:bCs/>
        </w:rPr>
        <w:t>,</w:t>
      </w:r>
      <w:r w:rsidR="00353FDE" w:rsidRPr="00696E9E">
        <w:rPr>
          <w:rFonts w:cs="Times New Roman"/>
          <w:bCs/>
        </w:rPr>
        <w:t xml:space="preserve"> la mise en place de mécanismes de veille, de dénonciation et de prises en charge en faveur des femmes victimes de violence en vue de leur garantir un minimum de conditions et de dispositifs de protection juridique, et de mettre en place des mécanismes institutionnels intégrés de prise en charge. </w:t>
      </w:r>
    </w:p>
    <w:p w14:paraId="6DC043EA" w14:textId="67BA603F" w:rsidR="00B86BA6" w:rsidRPr="00123D8F" w:rsidRDefault="00353FDE" w:rsidP="00123D8F">
      <w:pPr>
        <w:spacing w:before="240" w:after="0" w:line="360" w:lineRule="auto"/>
        <w:jc w:val="both"/>
        <w:outlineLvl w:val="0"/>
        <w:rPr>
          <w:rFonts w:cs="Times New Roman"/>
          <w:bCs/>
        </w:rPr>
      </w:pPr>
      <w:r w:rsidRPr="00696E9E">
        <w:rPr>
          <w:rFonts w:cs="Times New Roman"/>
          <w:bCs/>
        </w:rPr>
        <w:t xml:space="preserve">Ainsi, </w:t>
      </w:r>
      <w:r w:rsidR="00B205B6" w:rsidRPr="00696E9E">
        <w:rPr>
          <w:rFonts w:cs="Times New Roman"/>
          <w:bCs/>
        </w:rPr>
        <w:t xml:space="preserve">l’adoption d’une législation et de procédures, mécanismes et mesures spécifiques de mise en œuvre de la loi requiert un ensemble d’actions visant à informer, sensibiliser sur la mise en place </w:t>
      </w:r>
      <w:r w:rsidR="00B205B6" w:rsidRPr="00696E9E">
        <w:rPr>
          <w:rFonts w:cs="Times New Roman"/>
          <w:bCs/>
        </w:rPr>
        <w:lastRenderedPageBreak/>
        <w:t xml:space="preserve">effective de ces mesures </w:t>
      </w:r>
      <w:r w:rsidR="00B86BA6" w:rsidRPr="00696E9E">
        <w:rPr>
          <w:rFonts w:cs="Times New Roman"/>
          <w:bCs/>
        </w:rPr>
        <w:t xml:space="preserve">à travers des </w:t>
      </w:r>
      <w:r w:rsidR="00B205B6" w:rsidRPr="00696E9E">
        <w:rPr>
          <w:rFonts w:cs="Times New Roman"/>
          <w:bCs/>
        </w:rPr>
        <w:t xml:space="preserve">supports de communication </w:t>
      </w:r>
      <w:r w:rsidR="00B86BA6" w:rsidRPr="00696E9E">
        <w:rPr>
          <w:rFonts w:cs="Times New Roman"/>
          <w:bCs/>
        </w:rPr>
        <w:t xml:space="preserve">en </w:t>
      </w:r>
      <w:r w:rsidR="00B205B6" w:rsidRPr="00696E9E">
        <w:rPr>
          <w:rFonts w:cs="Times New Roman"/>
          <w:bCs/>
        </w:rPr>
        <w:t>vue d’en améliorer et d’en assurer une mise en œuvre efficace</w:t>
      </w:r>
      <w:r w:rsidR="00CD1069" w:rsidRPr="00696E9E">
        <w:rPr>
          <w:rFonts w:cs="Times New Roman"/>
          <w:bCs/>
        </w:rPr>
        <w:t xml:space="preserve">. </w:t>
      </w:r>
    </w:p>
    <w:p w14:paraId="3AB062D5" w14:textId="4822E18B" w:rsidR="00B86BA6" w:rsidRPr="00696E9E" w:rsidRDefault="00B86BA6" w:rsidP="00DA1518">
      <w:pPr>
        <w:spacing w:before="240" w:after="0" w:line="360" w:lineRule="auto"/>
        <w:jc w:val="both"/>
        <w:outlineLvl w:val="0"/>
        <w:rPr>
          <w:rFonts w:cs="Times New Roman"/>
          <w:bCs/>
        </w:rPr>
      </w:pPr>
      <w:r w:rsidRPr="00696E9E">
        <w:rPr>
          <w:rFonts w:cs="Times New Roman"/>
          <w:lang w:bidi="ar-MA"/>
        </w:rPr>
        <w:t xml:space="preserve">Dans </w:t>
      </w:r>
      <w:r w:rsidRPr="005E534A">
        <w:rPr>
          <w:rFonts w:cs="Times New Roman"/>
          <w:bCs/>
        </w:rPr>
        <w:t>ce</w:t>
      </w:r>
      <w:r w:rsidRPr="00696E9E">
        <w:rPr>
          <w:rFonts w:cs="Times New Roman"/>
          <w:lang w:bidi="ar-MA"/>
        </w:rPr>
        <w:t xml:space="preserve"> cadre,</w:t>
      </w:r>
      <w:r w:rsidRPr="00696E9E">
        <w:rPr>
          <w:rFonts w:cs="Times New Roman"/>
          <w:bCs/>
        </w:rPr>
        <w:t xml:space="preserve"> </w:t>
      </w:r>
      <w:r w:rsidR="00DA1518" w:rsidRPr="00696E9E">
        <w:rPr>
          <w:rFonts w:cs="Times New Roman"/>
          <w:bCs/>
        </w:rPr>
        <w:t>le Ministère de la Famille</w:t>
      </w:r>
      <w:r w:rsidR="00DA1518">
        <w:rPr>
          <w:rFonts w:cs="Times New Roman"/>
          <w:bCs/>
        </w:rPr>
        <w:t>,</w:t>
      </w:r>
      <w:r w:rsidR="00DA1518" w:rsidRPr="00696E9E">
        <w:rPr>
          <w:rFonts w:cs="Times New Roman"/>
          <w:bCs/>
        </w:rPr>
        <w:t xml:space="preserve"> de la Solidarité, de </w:t>
      </w:r>
      <w:r w:rsidR="00DA1518">
        <w:rPr>
          <w:rFonts w:cs="Times New Roman"/>
          <w:bCs/>
        </w:rPr>
        <w:t>l’Egalité</w:t>
      </w:r>
      <w:r w:rsidR="00DA1518" w:rsidRPr="00696E9E">
        <w:rPr>
          <w:rFonts w:cs="Times New Roman"/>
          <w:bCs/>
        </w:rPr>
        <w:t xml:space="preserve"> et du Développement Social </w:t>
      </w:r>
      <w:r w:rsidRPr="00696E9E">
        <w:rPr>
          <w:rFonts w:cs="Times New Roman"/>
          <w:bCs/>
        </w:rPr>
        <w:t xml:space="preserve">en partenariat avec l’UNFPA, lance un appel à consultation pour l’élaboration et la diffusion  d’un plan et supports  de communication sur la loi 103.13 relative à la lutte contre la violence faite aux femmes et ses mesures d’accompagnement. </w:t>
      </w:r>
    </w:p>
    <w:p w14:paraId="1BCC466B" w14:textId="44F10534" w:rsidR="00B86BA6" w:rsidRPr="00696E9E" w:rsidRDefault="00B86BA6" w:rsidP="005E534A">
      <w:pPr>
        <w:spacing w:before="240" w:after="0" w:line="360" w:lineRule="auto"/>
        <w:jc w:val="both"/>
        <w:outlineLvl w:val="0"/>
        <w:rPr>
          <w:rFonts w:cs="Times New Roman"/>
          <w:bCs/>
        </w:rPr>
      </w:pPr>
      <w:r w:rsidRPr="00696E9E">
        <w:rPr>
          <w:rFonts w:cs="Times New Roman"/>
          <w:bCs/>
        </w:rPr>
        <w:t>Cette consultation s’inscrit dans le cadre de la mise en œuvre du projet : « </w:t>
      </w:r>
      <w:r w:rsidRPr="00696E9E">
        <w:rPr>
          <w:rFonts w:cs="Times New Roman"/>
          <w:b/>
        </w:rPr>
        <w:t>Appui au renforcement de la lutte contre la violence à l’égard des femmes et à la disponibilité des services </w:t>
      </w:r>
      <w:r w:rsidRPr="00696E9E">
        <w:rPr>
          <w:rFonts w:cs="Times New Roman"/>
          <w:bCs/>
        </w:rPr>
        <w:t xml:space="preserve">», appuyé par la </w:t>
      </w:r>
      <w:r w:rsidRPr="00696E9E">
        <w:rPr>
          <w:rFonts w:cs="Times New Roman"/>
          <w:b/>
        </w:rPr>
        <w:t>coopération belge</w:t>
      </w:r>
      <w:r w:rsidRPr="00696E9E">
        <w:rPr>
          <w:rFonts w:cs="Times New Roman"/>
          <w:bCs/>
        </w:rPr>
        <w:t xml:space="preserve"> et mis en œuvre en partenariat avec </w:t>
      </w:r>
      <w:r w:rsidRPr="00696E9E">
        <w:rPr>
          <w:rFonts w:cs="Times New Roman"/>
          <w:bCs/>
          <w:i/>
          <w:iCs/>
        </w:rPr>
        <w:t>l’UNFPA</w:t>
      </w:r>
      <w:r w:rsidRPr="00696E9E">
        <w:rPr>
          <w:rFonts w:cs="Times New Roman"/>
          <w:bCs/>
        </w:rPr>
        <w:t xml:space="preserve">. Cette activité contribue ainsi à la réalisation du </w:t>
      </w:r>
      <w:r w:rsidRPr="00696E9E">
        <w:rPr>
          <w:rFonts w:cs="Times New Roman"/>
          <w:b/>
        </w:rPr>
        <w:t>Produit 1</w:t>
      </w:r>
      <w:r w:rsidRPr="00696E9E">
        <w:rPr>
          <w:rFonts w:cs="Times New Roman"/>
          <w:bCs/>
        </w:rPr>
        <w:t xml:space="preserve"> dudit projet : </w:t>
      </w:r>
      <w:r w:rsidRPr="00696E9E">
        <w:rPr>
          <w:rFonts w:cs="Times New Roman"/>
          <w:b/>
          <w:bCs/>
          <w:i/>
          <w:iCs/>
        </w:rPr>
        <w:t>La diffusion et la communication sur les dispositions de la loi sur la violence à l’égard des femmes et le renforcement des capacités aux niveaux national, régional et communal  sont assurés</w:t>
      </w:r>
      <w:r w:rsidRPr="00696E9E">
        <w:rPr>
          <w:rFonts w:cs="Times New Roman"/>
          <w:bCs/>
        </w:rPr>
        <w:t>.</w:t>
      </w:r>
    </w:p>
    <w:p w14:paraId="3C05C34C" w14:textId="469ACDF2" w:rsidR="00E41EF9" w:rsidRPr="00696E9E" w:rsidRDefault="00917335" w:rsidP="00696E9E">
      <w:pPr>
        <w:pStyle w:val="Heading1"/>
      </w:pPr>
      <w:r w:rsidRPr="00696E9E">
        <w:t>O</w:t>
      </w:r>
      <w:r w:rsidR="00A315D9" w:rsidRPr="00696E9E">
        <w:t>bjectifs</w:t>
      </w:r>
      <w:r w:rsidR="00575FCD" w:rsidRPr="00696E9E">
        <w:t xml:space="preserve"> et résultats attendus de la prestation</w:t>
      </w:r>
    </w:p>
    <w:p w14:paraId="442217D2" w14:textId="77777777" w:rsidR="00B10FFE" w:rsidRPr="00696E9E" w:rsidRDefault="00B10FFE" w:rsidP="00C6623D">
      <w:pPr>
        <w:pStyle w:val="ListParagraph"/>
        <w:numPr>
          <w:ilvl w:val="0"/>
          <w:numId w:val="27"/>
        </w:numPr>
        <w:autoSpaceDE w:val="0"/>
        <w:autoSpaceDN w:val="0"/>
        <w:adjustRightInd w:val="0"/>
        <w:spacing w:before="240" w:after="0" w:line="240" w:lineRule="auto"/>
        <w:jc w:val="both"/>
        <w:rPr>
          <w:rFonts w:cs="Times New Roman"/>
          <w:b/>
          <w:u w:val="single"/>
        </w:rPr>
      </w:pPr>
      <w:r w:rsidRPr="00696E9E">
        <w:rPr>
          <w:rFonts w:cs="Times New Roman"/>
          <w:b/>
          <w:u w:val="single"/>
        </w:rPr>
        <w:t>Objectifs</w:t>
      </w:r>
    </w:p>
    <w:p w14:paraId="6AF8ABA1" w14:textId="3A13AEE5" w:rsidR="000E252B" w:rsidRPr="00696E9E" w:rsidRDefault="00CF6B53" w:rsidP="00CD1069">
      <w:pPr>
        <w:pStyle w:val="ListParagraph"/>
        <w:numPr>
          <w:ilvl w:val="0"/>
          <w:numId w:val="36"/>
        </w:numPr>
        <w:autoSpaceDE w:val="0"/>
        <w:autoSpaceDN w:val="0"/>
        <w:adjustRightInd w:val="0"/>
        <w:spacing w:before="240" w:after="0" w:line="240" w:lineRule="auto"/>
        <w:jc w:val="both"/>
        <w:rPr>
          <w:rFonts w:cs="Times New Roman"/>
          <w:bCs/>
        </w:rPr>
      </w:pPr>
      <w:r w:rsidRPr="00696E9E">
        <w:rPr>
          <w:rFonts w:cs="Times New Roman"/>
          <w:bCs/>
        </w:rPr>
        <w:t xml:space="preserve">Permettre </w:t>
      </w:r>
      <w:r w:rsidR="000E252B" w:rsidRPr="00696E9E">
        <w:rPr>
          <w:rFonts w:cs="Times New Roman"/>
          <w:bCs/>
        </w:rPr>
        <w:t>u</w:t>
      </w:r>
      <w:r w:rsidR="00224534" w:rsidRPr="00696E9E">
        <w:rPr>
          <w:rFonts w:cs="Times New Roman"/>
          <w:bCs/>
        </w:rPr>
        <w:t>ne bonne connaissance</w:t>
      </w:r>
      <w:r w:rsidR="000E252B" w:rsidRPr="00696E9E">
        <w:rPr>
          <w:rFonts w:cs="Times New Roman"/>
          <w:bCs/>
        </w:rPr>
        <w:t xml:space="preserve"> et compréhension</w:t>
      </w:r>
      <w:r w:rsidR="00224534" w:rsidRPr="00696E9E">
        <w:rPr>
          <w:rFonts w:cs="Times New Roman"/>
          <w:bCs/>
        </w:rPr>
        <w:t xml:space="preserve"> des </w:t>
      </w:r>
      <w:r w:rsidR="00206A70" w:rsidRPr="00696E9E">
        <w:rPr>
          <w:rFonts w:cs="Times New Roman"/>
          <w:bCs/>
        </w:rPr>
        <w:t xml:space="preserve">dispositions </w:t>
      </w:r>
      <w:r w:rsidR="00690E1A" w:rsidRPr="00696E9E">
        <w:rPr>
          <w:rFonts w:cs="Times New Roman"/>
          <w:bCs/>
        </w:rPr>
        <w:t>juridiques et</w:t>
      </w:r>
      <w:r w:rsidR="00955052" w:rsidRPr="00696E9E">
        <w:rPr>
          <w:rFonts w:cs="Times New Roman"/>
          <w:bCs/>
        </w:rPr>
        <w:t xml:space="preserve"> des mesures d’accompagnement de </w:t>
      </w:r>
      <w:r w:rsidR="00224534" w:rsidRPr="00696E9E">
        <w:rPr>
          <w:rFonts w:cs="Times New Roman"/>
          <w:bCs/>
        </w:rPr>
        <w:t xml:space="preserve">la loi </w:t>
      </w:r>
      <w:r w:rsidR="00206A70" w:rsidRPr="00696E9E">
        <w:rPr>
          <w:rFonts w:cs="Times New Roman"/>
          <w:bCs/>
        </w:rPr>
        <w:t>103.13 relative à la lutte</w:t>
      </w:r>
      <w:r w:rsidR="00224534" w:rsidRPr="00696E9E">
        <w:rPr>
          <w:rFonts w:cs="Times New Roman"/>
          <w:bCs/>
        </w:rPr>
        <w:t xml:space="preserve"> contre la violence </w:t>
      </w:r>
      <w:r w:rsidR="00206A70" w:rsidRPr="00696E9E">
        <w:rPr>
          <w:rFonts w:cs="Times New Roman"/>
          <w:bCs/>
        </w:rPr>
        <w:t>à l’égard des</w:t>
      </w:r>
      <w:r w:rsidR="00224534" w:rsidRPr="00696E9E">
        <w:rPr>
          <w:rFonts w:cs="Times New Roman"/>
          <w:bCs/>
        </w:rPr>
        <w:t xml:space="preserve"> femmes</w:t>
      </w:r>
      <w:r w:rsidR="00C101C1" w:rsidRPr="00696E9E">
        <w:rPr>
          <w:rFonts w:cs="Times New Roman"/>
          <w:bCs/>
        </w:rPr>
        <w:t xml:space="preserve">, par l'opinion publique </w:t>
      </w:r>
      <w:r w:rsidR="00955052" w:rsidRPr="00696E9E">
        <w:rPr>
          <w:rFonts w:cs="Times New Roman"/>
          <w:bCs/>
        </w:rPr>
        <w:t xml:space="preserve">à différents niveaux : </w:t>
      </w:r>
      <w:r w:rsidR="000E252B" w:rsidRPr="00696E9E">
        <w:rPr>
          <w:rFonts w:cs="Times New Roman"/>
          <w:bCs/>
        </w:rPr>
        <w:t>national</w:t>
      </w:r>
      <w:r w:rsidR="00955052" w:rsidRPr="00696E9E">
        <w:rPr>
          <w:rFonts w:cs="Times New Roman"/>
          <w:bCs/>
        </w:rPr>
        <w:t>, régional et local</w:t>
      </w:r>
      <w:r w:rsidR="000E252B" w:rsidRPr="00696E9E">
        <w:rPr>
          <w:rFonts w:cs="Times New Roman"/>
          <w:bCs/>
        </w:rPr>
        <w:t> ;</w:t>
      </w:r>
    </w:p>
    <w:p w14:paraId="60DD1F3F" w14:textId="764B1EA2" w:rsidR="000E252B" w:rsidRPr="00696E9E" w:rsidRDefault="000E252B" w:rsidP="00696E9E">
      <w:pPr>
        <w:pStyle w:val="ListParagraph"/>
        <w:numPr>
          <w:ilvl w:val="0"/>
          <w:numId w:val="36"/>
        </w:numPr>
        <w:autoSpaceDE w:val="0"/>
        <w:autoSpaceDN w:val="0"/>
        <w:adjustRightInd w:val="0"/>
        <w:spacing w:before="240" w:after="0" w:line="240" w:lineRule="auto"/>
        <w:jc w:val="both"/>
        <w:rPr>
          <w:rFonts w:cs="Times New Roman"/>
          <w:bCs/>
        </w:rPr>
      </w:pPr>
      <w:r w:rsidRPr="00696E9E">
        <w:rPr>
          <w:rFonts w:cs="Times New Roman"/>
          <w:bCs/>
        </w:rPr>
        <w:t xml:space="preserve">Expliquer, simplifier et vulgariser les dispositions juridiques </w:t>
      </w:r>
      <w:r w:rsidR="00955052" w:rsidRPr="00696E9E">
        <w:rPr>
          <w:rFonts w:cs="Times New Roman"/>
          <w:bCs/>
        </w:rPr>
        <w:t xml:space="preserve">et les mesures d’accompagnement </w:t>
      </w:r>
      <w:r w:rsidRPr="00696E9E">
        <w:rPr>
          <w:rFonts w:cs="Times New Roman"/>
          <w:bCs/>
        </w:rPr>
        <w:t xml:space="preserve">de la loi 103.13 </w:t>
      </w:r>
      <w:r w:rsidR="00696E9E" w:rsidRPr="00696E9E">
        <w:rPr>
          <w:rFonts w:cs="Times New Roman"/>
          <w:bCs/>
        </w:rPr>
        <w:t>relative à la lutte contre la violence à l’égard des femmes</w:t>
      </w:r>
      <w:r w:rsidRPr="00696E9E">
        <w:rPr>
          <w:rFonts w:cs="Times New Roman"/>
          <w:bCs/>
        </w:rPr>
        <w:t> ;</w:t>
      </w:r>
    </w:p>
    <w:p w14:paraId="1E04931F" w14:textId="3932D92D" w:rsidR="000E252B" w:rsidRDefault="00B205B6" w:rsidP="00696E9E">
      <w:pPr>
        <w:pStyle w:val="ListParagraph"/>
        <w:numPr>
          <w:ilvl w:val="0"/>
          <w:numId w:val="36"/>
        </w:numPr>
        <w:autoSpaceDE w:val="0"/>
        <w:autoSpaceDN w:val="0"/>
        <w:adjustRightInd w:val="0"/>
        <w:spacing w:before="240" w:after="0" w:line="240" w:lineRule="auto"/>
        <w:jc w:val="both"/>
        <w:rPr>
          <w:rFonts w:cs="Times New Roman"/>
          <w:bCs/>
        </w:rPr>
      </w:pPr>
      <w:r w:rsidRPr="00696E9E">
        <w:rPr>
          <w:rFonts w:cs="Times New Roman"/>
          <w:bCs/>
        </w:rPr>
        <w:t>Développer des</w:t>
      </w:r>
      <w:r w:rsidR="00206A70" w:rsidRPr="00696E9E">
        <w:rPr>
          <w:rFonts w:cs="Times New Roman"/>
          <w:bCs/>
        </w:rPr>
        <w:t xml:space="preserve"> outils</w:t>
      </w:r>
      <w:r w:rsidRPr="00696E9E">
        <w:rPr>
          <w:rFonts w:cs="Times New Roman"/>
          <w:bCs/>
        </w:rPr>
        <w:t>/supports</w:t>
      </w:r>
      <w:r w:rsidR="00206A70" w:rsidRPr="00696E9E">
        <w:rPr>
          <w:rFonts w:cs="Times New Roman"/>
          <w:bCs/>
        </w:rPr>
        <w:t xml:space="preserve"> de </w:t>
      </w:r>
      <w:r w:rsidR="00696E9E" w:rsidRPr="00696E9E">
        <w:rPr>
          <w:rFonts w:cs="Times New Roman"/>
          <w:bCs/>
        </w:rPr>
        <w:t>communication appropriée</w:t>
      </w:r>
      <w:r w:rsidRPr="00696E9E">
        <w:rPr>
          <w:rFonts w:cs="Times New Roman"/>
          <w:bCs/>
        </w:rPr>
        <w:t xml:space="preserve"> </w:t>
      </w:r>
      <w:r w:rsidR="00206A70" w:rsidRPr="00696E9E">
        <w:rPr>
          <w:rFonts w:cs="Times New Roman"/>
          <w:bCs/>
        </w:rPr>
        <w:t>permettant l</w:t>
      </w:r>
      <w:r w:rsidR="00955052" w:rsidRPr="00696E9E">
        <w:rPr>
          <w:rFonts w:cs="Times New Roman"/>
          <w:bCs/>
        </w:rPr>
        <w:t>’</w:t>
      </w:r>
      <w:r w:rsidR="00845F56" w:rsidRPr="00696E9E">
        <w:rPr>
          <w:rFonts w:cs="Times New Roman"/>
          <w:bCs/>
        </w:rPr>
        <w:t xml:space="preserve">application </w:t>
      </w:r>
      <w:r w:rsidR="00955052" w:rsidRPr="00696E9E">
        <w:rPr>
          <w:rFonts w:cs="Times New Roman"/>
          <w:bCs/>
        </w:rPr>
        <w:t xml:space="preserve">judicieuse et le suivi </w:t>
      </w:r>
      <w:r w:rsidR="00845F56" w:rsidRPr="00696E9E">
        <w:rPr>
          <w:rFonts w:cs="Times New Roman"/>
          <w:bCs/>
        </w:rPr>
        <w:t xml:space="preserve">de la loi 103.13 </w:t>
      </w:r>
      <w:r w:rsidR="00696E9E" w:rsidRPr="00696E9E">
        <w:rPr>
          <w:rFonts w:cs="Times New Roman"/>
          <w:bCs/>
        </w:rPr>
        <w:t>relative à la lutte contre la violence à l’égard des femmes</w:t>
      </w:r>
      <w:r w:rsidR="000A668D" w:rsidRPr="00696E9E">
        <w:rPr>
          <w:rFonts w:cs="Times New Roman"/>
          <w:bCs/>
        </w:rPr>
        <w:t>.</w:t>
      </w:r>
    </w:p>
    <w:p w14:paraId="279DEE0B" w14:textId="6B52EF79" w:rsidR="00B10FFE" w:rsidRPr="00696E9E" w:rsidRDefault="00CD1069" w:rsidP="00C6623D">
      <w:pPr>
        <w:pStyle w:val="ListParagraph"/>
        <w:numPr>
          <w:ilvl w:val="0"/>
          <w:numId w:val="27"/>
        </w:numPr>
        <w:autoSpaceDE w:val="0"/>
        <w:autoSpaceDN w:val="0"/>
        <w:adjustRightInd w:val="0"/>
        <w:spacing w:before="240" w:after="0" w:line="240" w:lineRule="auto"/>
        <w:jc w:val="both"/>
        <w:rPr>
          <w:rFonts w:cs="Times New Roman"/>
          <w:b/>
          <w:u w:val="single"/>
        </w:rPr>
      </w:pPr>
      <w:r w:rsidRPr="00696E9E">
        <w:rPr>
          <w:rFonts w:cs="Times New Roman"/>
          <w:b/>
          <w:u w:val="single"/>
        </w:rPr>
        <w:t>R</w:t>
      </w:r>
      <w:r w:rsidR="00B10FFE" w:rsidRPr="00696E9E">
        <w:rPr>
          <w:rFonts w:cs="Times New Roman"/>
          <w:b/>
          <w:u w:val="single"/>
        </w:rPr>
        <w:t>ésultat attendus :</w:t>
      </w:r>
    </w:p>
    <w:p w14:paraId="588E6C1E" w14:textId="77B10B22" w:rsidR="003972AE" w:rsidRPr="00696E9E" w:rsidRDefault="00B10FFE" w:rsidP="00696E9E">
      <w:pPr>
        <w:pStyle w:val="ListParagraph"/>
        <w:numPr>
          <w:ilvl w:val="0"/>
          <w:numId w:val="29"/>
        </w:numPr>
        <w:autoSpaceDE w:val="0"/>
        <w:autoSpaceDN w:val="0"/>
        <w:adjustRightInd w:val="0"/>
        <w:spacing w:before="240" w:after="0" w:line="240" w:lineRule="auto"/>
        <w:ind w:left="1080"/>
        <w:jc w:val="both"/>
        <w:rPr>
          <w:rFonts w:cs="Times New Roman"/>
          <w:bCs/>
        </w:rPr>
      </w:pPr>
      <w:r w:rsidRPr="00696E9E">
        <w:rPr>
          <w:rFonts w:cs="Times New Roman"/>
          <w:bCs/>
        </w:rPr>
        <w:t xml:space="preserve">Une </w:t>
      </w:r>
      <w:r w:rsidRPr="00696E9E">
        <w:rPr>
          <w:rFonts w:cs="Times New Roman"/>
          <w:b/>
        </w:rPr>
        <w:t>note méthodologique</w:t>
      </w:r>
      <w:r w:rsidRPr="00696E9E">
        <w:rPr>
          <w:rFonts w:cs="Times New Roman"/>
          <w:bCs/>
        </w:rPr>
        <w:t xml:space="preserve"> </w:t>
      </w:r>
      <w:r w:rsidR="00B205B6" w:rsidRPr="00696E9E">
        <w:rPr>
          <w:rFonts w:cs="Times New Roman"/>
          <w:bCs/>
        </w:rPr>
        <w:t xml:space="preserve">qui décrit l’approche utilisée pour définir le plan de communication </w:t>
      </w:r>
      <w:r w:rsidR="0080557D" w:rsidRPr="00696E9E">
        <w:rPr>
          <w:rFonts w:cs="Times New Roman"/>
          <w:bCs/>
        </w:rPr>
        <w:t xml:space="preserve">y compris les </w:t>
      </w:r>
      <w:r w:rsidR="002266C2" w:rsidRPr="00696E9E">
        <w:rPr>
          <w:rFonts w:cs="Times New Roman"/>
          <w:bCs/>
        </w:rPr>
        <w:t xml:space="preserve">axes et </w:t>
      </w:r>
      <w:r w:rsidR="00696E9E" w:rsidRPr="00696E9E">
        <w:rPr>
          <w:rFonts w:cs="Times New Roman"/>
          <w:bCs/>
        </w:rPr>
        <w:t xml:space="preserve">les </w:t>
      </w:r>
      <w:r w:rsidR="0080557D" w:rsidRPr="00696E9E">
        <w:rPr>
          <w:rFonts w:cs="Times New Roman"/>
          <w:bCs/>
        </w:rPr>
        <w:t xml:space="preserve">outils d’investigation </w:t>
      </w:r>
      <w:r w:rsidR="002266C2" w:rsidRPr="00696E9E">
        <w:rPr>
          <w:rFonts w:cs="Times New Roman"/>
          <w:bCs/>
        </w:rPr>
        <w:t>, les cibles visées, les messages appropriés, les axes d’intervention et les moyens nécessaires, les supports de communication proposés</w:t>
      </w:r>
      <w:r w:rsidRPr="00696E9E">
        <w:rPr>
          <w:rFonts w:cs="Times New Roman"/>
          <w:bCs/>
        </w:rPr>
        <w:t xml:space="preserve"> </w:t>
      </w:r>
      <w:r w:rsidR="0080557D" w:rsidRPr="00696E9E">
        <w:rPr>
          <w:rFonts w:cs="Times New Roman"/>
          <w:bCs/>
        </w:rPr>
        <w:t xml:space="preserve">et </w:t>
      </w:r>
      <w:r w:rsidRPr="00696E9E">
        <w:rPr>
          <w:rFonts w:cs="Times New Roman"/>
          <w:bCs/>
        </w:rPr>
        <w:t xml:space="preserve"> un calendrier précis d’exécution</w:t>
      </w:r>
      <w:r w:rsidR="002266C2" w:rsidRPr="00696E9E">
        <w:rPr>
          <w:rFonts w:cs="Times New Roman"/>
          <w:bCs/>
        </w:rPr>
        <w:t>/mise en œuvre du plan de communication</w:t>
      </w:r>
      <w:r w:rsidR="0080557D" w:rsidRPr="00696E9E">
        <w:rPr>
          <w:rFonts w:cs="Times New Roman"/>
          <w:bCs/>
        </w:rPr>
        <w:t>. Cette note</w:t>
      </w:r>
      <w:r w:rsidRPr="00696E9E">
        <w:rPr>
          <w:rFonts w:cs="Times New Roman"/>
          <w:bCs/>
        </w:rPr>
        <w:t xml:space="preserve"> sera soumise à la validation du comité de pilotage du projet</w:t>
      </w:r>
      <w:r w:rsidR="0079200A" w:rsidRPr="00696E9E">
        <w:rPr>
          <w:rFonts w:cs="Times New Roman"/>
          <w:bCs/>
        </w:rPr>
        <w:t> ;</w:t>
      </w:r>
    </w:p>
    <w:p w14:paraId="42AC81FD" w14:textId="4B652964" w:rsidR="00CD1069" w:rsidRPr="00696E9E" w:rsidRDefault="002266C2" w:rsidP="00CD1069">
      <w:pPr>
        <w:pStyle w:val="ListParagraph"/>
        <w:numPr>
          <w:ilvl w:val="0"/>
          <w:numId w:val="29"/>
        </w:numPr>
        <w:autoSpaceDE w:val="0"/>
        <w:autoSpaceDN w:val="0"/>
        <w:adjustRightInd w:val="0"/>
        <w:spacing w:before="240" w:after="0" w:line="240" w:lineRule="auto"/>
        <w:ind w:left="1080"/>
        <w:jc w:val="both"/>
        <w:rPr>
          <w:rFonts w:cs="Times New Roman"/>
          <w:bCs/>
        </w:rPr>
      </w:pPr>
      <w:r w:rsidRPr="00696E9E">
        <w:rPr>
          <w:rFonts w:cs="Times New Roman"/>
          <w:bCs/>
        </w:rPr>
        <w:t xml:space="preserve">Un </w:t>
      </w:r>
      <w:r w:rsidRPr="00696E9E">
        <w:rPr>
          <w:rFonts w:cs="Times New Roman"/>
          <w:b/>
        </w:rPr>
        <w:t>plan de communication</w:t>
      </w:r>
      <w:r w:rsidRPr="00696E9E">
        <w:rPr>
          <w:rFonts w:cs="Times New Roman"/>
          <w:bCs/>
        </w:rPr>
        <w:t xml:space="preserve"> </w:t>
      </w:r>
      <w:r w:rsidR="00CD1069" w:rsidRPr="00696E9E">
        <w:rPr>
          <w:rFonts w:cs="Times New Roman"/>
          <w:bCs/>
        </w:rPr>
        <w:t>élaboré sur</w:t>
      </w:r>
      <w:r w:rsidRPr="00696E9E">
        <w:rPr>
          <w:rFonts w:cs="Times New Roman"/>
          <w:bCs/>
        </w:rPr>
        <w:t xml:space="preserve"> la loi et ses mesures d’accompagnement</w:t>
      </w:r>
      <w:r w:rsidR="00F03271">
        <w:rPr>
          <w:rFonts w:cs="Times New Roman"/>
          <w:bCs/>
        </w:rPr>
        <w:t> ;</w:t>
      </w:r>
    </w:p>
    <w:p w14:paraId="44E6EA67" w14:textId="35827F53" w:rsidR="00224534" w:rsidRPr="001E7916" w:rsidRDefault="00071EAE" w:rsidP="001E7916">
      <w:pPr>
        <w:pStyle w:val="ListParagraph"/>
        <w:numPr>
          <w:ilvl w:val="0"/>
          <w:numId w:val="29"/>
        </w:numPr>
        <w:autoSpaceDE w:val="0"/>
        <w:autoSpaceDN w:val="0"/>
        <w:adjustRightInd w:val="0"/>
        <w:spacing w:before="240" w:after="0" w:line="240" w:lineRule="auto"/>
        <w:ind w:left="1080"/>
        <w:jc w:val="both"/>
        <w:rPr>
          <w:rFonts w:cs="Times New Roman"/>
          <w:bCs/>
        </w:rPr>
      </w:pPr>
      <w:r w:rsidRPr="001E7916">
        <w:rPr>
          <w:rFonts w:cs="Times New Roman"/>
          <w:bCs/>
        </w:rPr>
        <w:t xml:space="preserve">Des </w:t>
      </w:r>
      <w:r w:rsidRPr="001E7916">
        <w:rPr>
          <w:rFonts w:cs="Times New Roman"/>
          <w:b/>
        </w:rPr>
        <w:t>supports de communication</w:t>
      </w:r>
      <w:r w:rsidRPr="001E7916">
        <w:rPr>
          <w:rFonts w:cs="Times New Roman"/>
          <w:bCs/>
        </w:rPr>
        <w:t>, conçus</w:t>
      </w:r>
      <w:r w:rsidR="00224534" w:rsidRPr="001E7916">
        <w:rPr>
          <w:rFonts w:cs="Times New Roman"/>
          <w:bCs/>
        </w:rPr>
        <w:t>.</w:t>
      </w:r>
    </w:p>
    <w:p w14:paraId="6A113D5E" w14:textId="77777777" w:rsidR="00696E9E" w:rsidRPr="00696E9E" w:rsidRDefault="00696E9E" w:rsidP="00696E9E">
      <w:pPr>
        <w:autoSpaceDE w:val="0"/>
        <w:autoSpaceDN w:val="0"/>
        <w:adjustRightInd w:val="0"/>
        <w:spacing w:before="240" w:after="0" w:line="240" w:lineRule="auto"/>
        <w:jc w:val="both"/>
        <w:rPr>
          <w:rFonts w:cs="Times New Roman"/>
          <w:bCs/>
        </w:rPr>
      </w:pPr>
    </w:p>
    <w:p w14:paraId="4F9987CA" w14:textId="4ABF521F" w:rsidR="007718E7" w:rsidRPr="00696E9E" w:rsidRDefault="00A315D9" w:rsidP="00696E9E">
      <w:pPr>
        <w:pStyle w:val="Heading1"/>
      </w:pPr>
      <w:r w:rsidRPr="00696E9E">
        <w:t>Tâches du consultant/e</w:t>
      </w:r>
    </w:p>
    <w:p w14:paraId="58C26B07" w14:textId="77777777" w:rsidR="00265018" w:rsidRPr="00696E9E" w:rsidRDefault="00265018" w:rsidP="00C6623D">
      <w:pPr>
        <w:pStyle w:val="ListParagraph"/>
        <w:numPr>
          <w:ilvl w:val="0"/>
          <w:numId w:val="30"/>
        </w:numPr>
        <w:autoSpaceDE w:val="0"/>
        <w:autoSpaceDN w:val="0"/>
        <w:adjustRightInd w:val="0"/>
        <w:spacing w:before="240" w:after="0" w:line="240" w:lineRule="auto"/>
        <w:jc w:val="both"/>
        <w:rPr>
          <w:rFonts w:cs="Times New Roman"/>
          <w:bCs/>
        </w:rPr>
      </w:pPr>
      <w:r w:rsidRPr="00696E9E">
        <w:rPr>
          <w:rFonts w:cs="Times New Roman"/>
          <w:bCs/>
        </w:rPr>
        <w:t xml:space="preserve">Proposer un plan de communication sur la loi 103.13 </w:t>
      </w:r>
      <w:r w:rsidR="00206A70" w:rsidRPr="00696E9E">
        <w:rPr>
          <w:rFonts w:cs="Times New Roman"/>
          <w:bCs/>
        </w:rPr>
        <w:t>relative à la l</w:t>
      </w:r>
      <w:r w:rsidRPr="00696E9E">
        <w:rPr>
          <w:rFonts w:cs="Times New Roman"/>
          <w:bCs/>
        </w:rPr>
        <w:t xml:space="preserve">utte contre la violence </w:t>
      </w:r>
      <w:r w:rsidR="00206A70" w:rsidRPr="00696E9E">
        <w:rPr>
          <w:rFonts w:cs="Times New Roman"/>
          <w:bCs/>
        </w:rPr>
        <w:t>à l’égard des</w:t>
      </w:r>
      <w:r w:rsidRPr="00696E9E">
        <w:rPr>
          <w:rFonts w:cs="Times New Roman"/>
          <w:bCs/>
        </w:rPr>
        <w:t xml:space="preserve"> </w:t>
      </w:r>
      <w:r w:rsidR="00206A70" w:rsidRPr="00696E9E">
        <w:rPr>
          <w:rFonts w:cs="Times New Roman"/>
          <w:bCs/>
        </w:rPr>
        <w:t>femmes ;</w:t>
      </w:r>
    </w:p>
    <w:p w14:paraId="3590CAB4" w14:textId="68DB4B62" w:rsidR="006A6232" w:rsidRPr="00696E9E" w:rsidRDefault="006A6232" w:rsidP="00C6623D">
      <w:pPr>
        <w:pStyle w:val="ListParagraph"/>
        <w:numPr>
          <w:ilvl w:val="0"/>
          <w:numId w:val="30"/>
        </w:numPr>
        <w:autoSpaceDE w:val="0"/>
        <w:autoSpaceDN w:val="0"/>
        <w:adjustRightInd w:val="0"/>
        <w:spacing w:before="240" w:after="0" w:line="240" w:lineRule="auto"/>
        <w:jc w:val="both"/>
        <w:rPr>
          <w:rFonts w:cs="Times New Roman"/>
          <w:bCs/>
        </w:rPr>
      </w:pPr>
      <w:r w:rsidRPr="00696E9E">
        <w:rPr>
          <w:rFonts w:cs="Times New Roman"/>
          <w:bCs/>
        </w:rPr>
        <w:t>Spécifier pour chacune des dispositions juridiques de la loi : le message, la cible, le vecteur de communication adapté (presse, outils</w:t>
      </w:r>
      <w:r w:rsidR="00A76963" w:rsidRPr="00696E9E">
        <w:rPr>
          <w:rFonts w:cs="Times New Roman"/>
          <w:bCs/>
        </w:rPr>
        <w:t>/supports</w:t>
      </w:r>
      <w:r w:rsidRPr="00696E9E">
        <w:rPr>
          <w:rFonts w:cs="Times New Roman"/>
          <w:bCs/>
        </w:rPr>
        <w:t xml:space="preserve"> de vulgarisation, guides, spots TV, affiches, brochures, dépliants, films, Internet, réseaux, conférences, focus groupe…), le coût (schéma de financement), le calendrier, la responsabilité des acteurs impliqués ;</w:t>
      </w:r>
    </w:p>
    <w:p w14:paraId="0EBD2918" w14:textId="77777777" w:rsidR="00265018" w:rsidRPr="00696E9E" w:rsidRDefault="006A6232" w:rsidP="00C6623D">
      <w:pPr>
        <w:pStyle w:val="ListParagraph"/>
        <w:numPr>
          <w:ilvl w:val="0"/>
          <w:numId w:val="30"/>
        </w:numPr>
        <w:autoSpaceDE w:val="0"/>
        <w:autoSpaceDN w:val="0"/>
        <w:adjustRightInd w:val="0"/>
        <w:spacing w:before="240" w:after="0" w:line="240" w:lineRule="auto"/>
        <w:jc w:val="both"/>
        <w:rPr>
          <w:rFonts w:cs="Times New Roman"/>
          <w:bCs/>
        </w:rPr>
      </w:pPr>
      <w:r w:rsidRPr="00696E9E">
        <w:rPr>
          <w:rFonts w:cs="Times New Roman"/>
          <w:bCs/>
        </w:rPr>
        <w:lastRenderedPageBreak/>
        <w:t>Définir les moyens les plus pertinents pour toucher les publics cibles et atteindre les objectifs fixés. Les médias et les supports doivent être choisis suivant leur qualité informative, leur</w:t>
      </w:r>
      <w:r w:rsidR="003972AE" w:rsidRPr="00696E9E">
        <w:rPr>
          <w:rFonts w:cs="Times New Roman"/>
          <w:bCs/>
        </w:rPr>
        <w:t xml:space="preserve"> audience, le public ciblé…etc ;</w:t>
      </w:r>
    </w:p>
    <w:p w14:paraId="09DE3F0F" w14:textId="77777777" w:rsidR="00265018" w:rsidRPr="00696E9E" w:rsidRDefault="0007021B" w:rsidP="00C6623D">
      <w:pPr>
        <w:pStyle w:val="ListParagraph"/>
        <w:numPr>
          <w:ilvl w:val="0"/>
          <w:numId w:val="30"/>
        </w:numPr>
        <w:autoSpaceDE w:val="0"/>
        <w:autoSpaceDN w:val="0"/>
        <w:adjustRightInd w:val="0"/>
        <w:spacing w:before="240" w:after="0" w:line="240" w:lineRule="auto"/>
        <w:jc w:val="both"/>
        <w:rPr>
          <w:rFonts w:cs="Times New Roman"/>
          <w:bCs/>
        </w:rPr>
      </w:pPr>
      <w:r w:rsidRPr="00696E9E">
        <w:rPr>
          <w:rFonts w:cs="Times New Roman"/>
          <w:bCs/>
        </w:rPr>
        <w:t xml:space="preserve">Proposer </w:t>
      </w:r>
      <w:r w:rsidR="00206A70" w:rsidRPr="00696E9E">
        <w:rPr>
          <w:rFonts w:cs="Times New Roman"/>
          <w:bCs/>
        </w:rPr>
        <w:t>u</w:t>
      </w:r>
      <w:r w:rsidR="00265018" w:rsidRPr="00696E9E">
        <w:rPr>
          <w:rFonts w:cs="Times New Roman"/>
          <w:bCs/>
        </w:rPr>
        <w:t>n kit didactique et une boîte à outil</w:t>
      </w:r>
      <w:r w:rsidR="00206A70" w:rsidRPr="00696E9E">
        <w:rPr>
          <w:rFonts w:cs="Times New Roman"/>
          <w:bCs/>
        </w:rPr>
        <w:t>s</w:t>
      </w:r>
      <w:r w:rsidR="00265018" w:rsidRPr="00696E9E">
        <w:rPr>
          <w:rFonts w:cs="Times New Roman"/>
          <w:bCs/>
        </w:rPr>
        <w:t xml:space="preserve"> pour réaliser </w:t>
      </w:r>
      <w:r w:rsidR="006A6232" w:rsidRPr="00696E9E">
        <w:rPr>
          <w:rFonts w:cs="Times New Roman"/>
          <w:bCs/>
        </w:rPr>
        <w:t>le plan</w:t>
      </w:r>
      <w:r w:rsidR="00265018" w:rsidRPr="00696E9E">
        <w:rPr>
          <w:rFonts w:cs="Times New Roman"/>
          <w:bCs/>
        </w:rPr>
        <w:t xml:space="preserve"> de communication</w:t>
      </w:r>
      <w:r w:rsidR="003972AE" w:rsidRPr="00696E9E">
        <w:rPr>
          <w:rFonts w:cs="Times New Roman"/>
          <w:bCs/>
        </w:rPr>
        <w:t> ;</w:t>
      </w:r>
    </w:p>
    <w:p w14:paraId="2E25E4E9" w14:textId="434EBE37" w:rsidR="00756D90" w:rsidRPr="00696E9E" w:rsidRDefault="006D42FF" w:rsidP="00C6623D">
      <w:pPr>
        <w:pStyle w:val="ListParagraph"/>
        <w:numPr>
          <w:ilvl w:val="0"/>
          <w:numId w:val="30"/>
        </w:numPr>
        <w:autoSpaceDE w:val="0"/>
        <w:autoSpaceDN w:val="0"/>
        <w:adjustRightInd w:val="0"/>
        <w:spacing w:before="240" w:after="0" w:line="240" w:lineRule="auto"/>
        <w:jc w:val="both"/>
        <w:rPr>
          <w:rFonts w:cs="Times New Roman"/>
          <w:bCs/>
        </w:rPr>
      </w:pPr>
      <w:r w:rsidRPr="00696E9E">
        <w:rPr>
          <w:rFonts w:cs="Times New Roman"/>
          <w:bCs/>
        </w:rPr>
        <w:t xml:space="preserve">Élaborer un plan de mise en œuvre </w:t>
      </w:r>
      <w:r w:rsidR="00A76963" w:rsidRPr="00696E9E">
        <w:rPr>
          <w:rFonts w:cs="Times New Roman"/>
          <w:bCs/>
        </w:rPr>
        <w:t xml:space="preserve">et </w:t>
      </w:r>
      <w:r w:rsidR="00696E9E" w:rsidRPr="00696E9E">
        <w:rPr>
          <w:rFonts w:cs="Times New Roman"/>
          <w:bCs/>
        </w:rPr>
        <w:t xml:space="preserve">de </w:t>
      </w:r>
      <w:r w:rsidR="00A76963" w:rsidRPr="00696E9E">
        <w:rPr>
          <w:rFonts w:cs="Times New Roman"/>
          <w:bCs/>
        </w:rPr>
        <w:t xml:space="preserve">suivi </w:t>
      </w:r>
      <w:r w:rsidRPr="00696E9E">
        <w:rPr>
          <w:rFonts w:cs="Times New Roman"/>
          <w:bCs/>
        </w:rPr>
        <w:t>du plan de communication</w:t>
      </w:r>
      <w:r w:rsidR="00756D90" w:rsidRPr="00696E9E">
        <w:rPr>
          <w:rFonts w:cs="Times New Roman"/>
          <w:bCs/>
        </w:rPr>
        <w:t> ;</w:t>
      </w:r>
    </w:p>
    <w:p w14:paraId="7ECB9CE7" w14:textId="6149AAC4" w:rsidR="006D42FF" w:rsidRPr="001E7916" w:rsidRDefault="00756D90" w:rsidP="001E7916">
      <w:pPr>
        <w:pStyle w:val="ListParagraph"/>
        <w:numPr>
          <w:ilvl w:val="0"/>
          <w:numId w:val="30"/>
        </w:numPr>
        <w:autoSpaceDE w:val="0"/>
        <w:autoSpaceDN w:val="0"/>
        <w:adjustRightInd w:val="0"/>
        <w:spacing w:before="240" w:after="0" w:line="240" w:lineRule="auto"/>
        <w:jc w:val="both"/>
        <w:rPr>
          <w:rFonts w:cs="Times New Roman"/>
          <w:bCs/>
        </w:rPr>
      </w:pPr>
      <w:r w:rsidRPr="001E7916">
        <w:rPr>
          <w:rFonts w:cs="Times New Roman"/>
          <w:bCs/>
        </w:rPr>
        <w:t xml:space="preserve">Concevoir </w:t>
      </w:r>
      <w:r w:rsidR="001E7916">
        <w:rPr>
          <w:rFonts w:cs="Times New Roman"/>
          <w:bCs/>
        </w:rPr>
        <w:t xml:space="preserve">trois différents </w:t>
      </w:r>
      <w:r w:rsidRPr="001E7916">
        <w:rPr>
          <w:rFonts w:cs="Times New Roman"/>
          <w:bCs/>
        </w:rPr>
        <w:t>supports de communication</w:t>
      </w:r>
      <w:r w:rsidR="001E7916">
        <w:rPr>
          <w:rFonts w:cs="Times New Roman"/>
          <w:bCs/>
        </w:rPr>
        <w:t>, une proposition de la nature des supports est à</w:t>
      </w:r>
      <w:r w:rsidRPr="001E7916">
        <w:rPr>
          <w:rFonts w:cs="Times New Roman"/>
          <w:bCs/>
        </w:rPr>
        <w:t xml:space="preserve"> formul</w:t>
      </w:r>
      <w:r w:rsidR="001E7916">
        <w:rPr>
          <w:rFonts w:cs="Times New Roman"/>
          <w:bCs/>
        </w:rPr>
        <w:t>er</w:t>
      </w:r>
      <w:r w:rsidRPr="001E7916">
        <w:rPr>
          <w:rFonts w:cs="Times New Roman"/>
          <w:bCs/>
        </w:rPr>
        <w:t xml:space="preserve"> au niveau de l’offre du consultant</w:t>
      </w:r>
      <w:r w:rsidR="001E7916">
        <w:rPr>
          <w:rFonts w:cs="Times New Roman"/>
          <w:bCs/>
        </w:rPr>
        <w:t xml:space="preserve"> (flyer, dépliant, brochure, ...)</w:t>
      </w:r>
      <w:r w:rsidR="003972AE" w:rsidRPr="001E7916">
        <w:rPr>
          <w:rFonts w:cs="Times New Roman"/>
          <w:bCs/>
        </w:rPr>
        <w:t>.</w:t>
      </w:r>
    </w:p>
    <w:p w14:paraId="4E0139DB" w14:textId="467C64CB" w:rsidR="009E0CA6" w:rsidRPr="00696E9E" w:rsidRDefault="00DB3DAD" w:rsidP="00696E9E">
      <w:pPr>
        <w:pStyle w:val="Heading1"/>
      </w:pPr>
      <w:r w:rsidRPr="00696E9E">
        <w:t xml:space="preserve"> </w:t>
      </w:r>
      <w:r w:rsidR="00CD1069" w:rsidRPr="00696E9E">
        <w:t>Profil et</w:t>
      </w:r>
      <w:r w:rsidR="00A069E9" w:rsidRPr="00696E9E">
        <w:t xml:space="preserve"> compétences requises </w:t>
      </w:r>
      <w:r w:rsidR="004B7039" w:rsidRPr="00696E9E">
        <w:t>du consultant/e</w:t>
      </w:r>
      <w:r w:rsidRPr="00696E9E">
        <w:t xml:space="preserve"> ou bureau </w:t>
      </w:r>
      <w:r w:rsidR="00CD1069" w:rsidRPr="00696E9E">
        <w:t>d’études :</w:t>
      </w:r>
    </w:p>
    <w:p w14:paraId="16F8EB7D" w14:textId="070541E1" w:rsidR="00493E0F" w:rsidRPr="00ED5C65" w:rsidRDefault="00493E0F" w:rsidP="0057626F">
      <w:pPr>
        <w:pStyle w:val="ListParagraph"/>
        <w:numPr>
          <w:ilvl w:val="0"/>
          <w:numId w:val="34"/>
        </w:numPr>
        <w:autoSpaceDE w:val="0"/>
        <w:autoSpaceDN w:val="0"/>
        <w:adjustRightInd w:val="0"/>
        <w:spacing w:after="0" w:line="240" w:lineRule="auto"/>
        <w:jc w:val="both"/>
        <w:rPr>
          <w:rFonts w:cs="Times New Roman"/>
          <w:bCs/>
        </w:rPr>
      </w:pPr>
      <w:r w:rsidRPr="00ED5C65">
        <w:rPr>
          <w:rFonts w:cs="Times New Roman"/>
          <w:bCs/>
        </w:rPr>
        <w:t xml:space="preserve">Avoir </w:t>
      </w:r>
      <w:r w:rsidR="00C21AE4" w:rsidRPr="00ED5C65">
        <w:rPr>
          <w:rFonts w:cs="Times New Roman"/>
          <w:bCs/>
        </w:rPr>
        <w:t xml:space="preserve">une </w:t>
      </w:r>
      <w:r w:rsidRPr="00ED5C65">
        <w:rPr>
          <w:rFonts w:cs="Times New Roman"/>
          <w:bCs/>
        </w:rPr>
        <w:t xml:space="preserve">expérience </w:t>
      </w:r>
      <w:r w:rsidR="0057626F" w:rsidRPr="0057626F">
        <w:rPr>
          <w:rFonts w:cs="Times New Roman"/>
          <w:bCs/>
        </w:rPr>
        <w:t>une expérience confirmée dans le domaine de la communication</w:t>
      </w:r>
      <w:r w:rsidRPr="00ED5C65">
        <w:rPr>
          <w:rFonts w:cs="Times New Roman"/>
          <w:bCs/>
        </w:rPr>
        <w:t xml:space="preserve">. </w:t>
      </w:r>
    </w:p>
    <w:p w14:paraId="666ECCFC" w14:textId="68A3CEC0" w:rsidR="00493E0F" w:rsidRPr="00ED5C65" w:rsidRDefault="00493E0F" w:rsidP="00C21AE4">
      <w:pPr>
        <w:pStyle w:val="ListParagraph"/>
        <w:numPr>
          <w:ilvl w:val="0"/>
          <w:numId w:val="34"/>
        </w:numPr>
        <w:autoSpaceDE w:val="0"/>
        <w:autoSpaceDN w:val="0"/>
        <w:adjustRightInd w:val="0"/>
        <w:spacing w:after="0" w:line="240" w:lineRule="auto"/>
        <w:jc w:val="both"/>
        <w:rPr>
          <w:rFonts w:cs="Times New Roman"/>
          <w:bCs/>
        </w:rPr>
      </w:pPr>
      <w:r w:rsidRPr="00ED5C65">
        <w:rPr>
          <w:rFonts w:cs="Times New Roman"/>
          <w:bCs/>
        </w:rPr>
        <w:t>Avoir une expérience éprouvée dans l’innovation et la promotion des nouvelles approches et techniques de communication (médias sociaux</w:t>
      </w:r>
      <w:r w:rsidR="006B34E0" w:rsidRPr="00ED5C65">
        <w:rPr>
          <w:rFonts w:cs="Times New Roman"/>
          <w:bCs/>
        </w:rPr>
        <w:t>, communication en ligne, etc</w:t>
      </w:r>
      <w:r w:rsidR="006C5462" w:rsidRPr="00ED5C65">
        <w:rPr>
          <w:rFonts w:cs="Times New Roman"/>
          <w:bCs/>
        </w:rPr>
        <w:t>…</w:t>
      </w:r>
      <w:r w:rsidR="006B34E0" w:rsidRPr="00ED5C65">
        <w:rPr>
          <w:rFonts w:cs="Times New Roman"/>
          <w:bCs/>
        </w:rPr>
        <w:t>)</w:t>
      </w:r>
      <w:r w:rsidR="00AE0B96" w:rsidRPr="00ED5C65">
        <w:rPr>
          <w:rFonts w:cs="Times New Roman"/>
          <w:bCs/>
        </w:rPr>
        <w:t>.</w:t>
      </w:r>
    </w:p>
    <w:p w14:paraId="0BE568AA" w14:textId="11067E15" w:rsidR="00D66D04" w:rsidRPr="00ED5C65" w:rsidRDefault="00D66D04" w:rsidP="00CD1069">
      <w:pPr>
        <w:pStyle w:val="ListParagraph"/>
        <w:numPr>
          <w:ilvl w:val="0"/>
          <w:numId w:val="34"/>
        </w:numPr>
        <w:autoSpaceDE w:val="0"/>
        <w:autoSpaceDN w:val="0"/>
        <w:adjustRightInd w:val="0"/>
        <w:spacing w:after="0" w:line="240" w:lineRule="auto"/>
        <w:jc w:val="both"/>
        <w:rPr>
          <w:rFonts w:cs="Times New Roman"/>
          <w:bCs/>
        </w:rPr>
      </w:pPr>
      <w:r w:rsidRPr="00ED5C65">
        <w:rPr>
          <w:rFonts w:cs="Times New Roman"/>
          <w:bCs/>
        </w:rPr>
        <w:t>Avoir une bonne connaissance du contexte national notamment en rapport avec la lutte contre la</w:t>
      </w:r>
      <w:r w:rsidR="00A069E9" w:rsidRPr="00ED5C65">
        <w:rPr>
          <w:rFonts w:cs="Times New Roman"/>
          <w:bCs/>
        </w:rPr>
        <w:t xml:space="preserve"> violence à l’égard des femmes et en particulier avec </w:t>
      </w:r>
      <w:r w:rsidRPr="00ED5C65">
        <w:rPr>
          <w:rFonts w:cs="Times New Roman"/>
          <w:bCs/>
        </w:rPr>
        <w:t>l’objet de ladite consultation</w:t>
      </w:r>
      <w:r w:rsidR="006D555C" w:rsidRPr="00ED5C65">
        <w:rPr>
          <w:rFonts w:cs="Times New Roman"/>
          <w:bCs/>
        </w:rPr>
        <w:t>,</w:t>
      </w:r>
      <w:r w:rsidR="00C21AE4" w:rsidRPr="00ED5C65">
        <w:rPr>
          <w:rFonts w:cs="Times New Roman"/>
          <w:bCs/>
        </w:rPr>
        <w:t xml:space="preserve"> est un atout</w:t>
      </w:r>
      <w:r w:rsidRPr="00ED5C65">
        <w:rPr>
          <w:rFonts w:cs="Times New Roman"/>
          <w:bCs/>
        </w:rPr>
        <w:t>.</w:t>
      </w:r>
    </w:p>
    <w:p w14:paraId="43BAD0B0" w14:textId="6FBCFF38" w:rsidR="00493E0F" w:rsidRPr="00ED5C65" w:rsidRDefault="00DB3DAD" w:rsidP="00CD1069">
      <w:pPr>
        <w:pStyle w:val="ListParagraph"/>
        <w:numPr>
          <w:ilvl w:val="0"/>
          <w:numId w:val="34"/>
        </w:numPr>
        <w:autoSpaceDE w:val="0"/>
        <w:autoSpaceDN w:val="0"/>
        <w:adjustRightInd w:val="0"/>
        <w:spacing w:after="0" w:line="240" w:lineRule="auto"/>
        <w:jc w:val="both"/>
        <w:rPr>
          <w:rFonts w:cs="Times New Roman"/>
          <w:bCs/>
        </w:rPr>
      </w:pPr>
      <w:r w:rsidRPr="00ED5C65">
        <w:rPr>
          <w:rFonts w:cs="Times New Roman"/>
          <w:bCs/>
        </w:rPr>
        <w:t xml:space="preserve">Disposer de bonnes capacités de communication orale et </w:t>
      </w:r>
      <w:r w:rsidR="00CD1069" w:rsidRPr="00ED5C65">
        <w:rPr>
          <w:rFonts w:cs="Times New Roman"/>
          <w:bCs/>
        </w:rPr>
        <w:t>rédactionnelle en</w:t>
      </w:r>
      <w:r w:rsidRPr="00ED5C65">
        <w:rPr>
          <w:rFonts w:cs="Times New Roman"/>
          <w:bCs/>
        </w:rPr>
        <w:t xml:space="preserve"> arabe et </w:t>
      </w:r>
      <w:r w:rsidR="00CD1069" w:rsidRPr="00ED5C65">
        <w:rPr>
          <w:rFonts w:cs="Times New Roman"/>
          <w:bCs/>
        </w:rPr>
        <w:t>en français</w:t>
      </w:r>
      <w:r w:rsidR="0057626F">
        <w:rPr>
          <w:rFonts w:cs="Times New Roman"/>
          <w:bCs/>
        </w:rPr>
        <w:t>.</w:t>
      </w:r>
    </w:p>
    <w:p w14:paraId="3FA22148" w14:textId="2357F854" w:rsidR="00493E0F" w:rsidRPr="00696E9E" w:rsidRDefault="00493E0F" w:rsidP="00CD1069">
      <w:pPr>
        <w:pStyle w:val="ListParagraph"/>
        <w:numPr>
          <w:ilvl w:val="0"/>
          <w:numId w:val="34"/>
        </w:numPr>
        <w:autoSpaceDE w:val="0"/>
        <w:autoSpaceDN w:val="0"/>
        <w:adjustRightInd w:val="0"/>
        <w:spacing w:after="0" w:line="240" w:lineRule="auto"/>
        <w:jc w:val="both"/>
        <w:rPr>
          <w:rFonts w:cs="Times New Roman"/>
          <w:bCs/>
        </w:rPr>
      </w:pPr>
      <w:r w:rsidRPr="00696E9E">
        <w:rPr>
          <w:rFonts w:cs="Times New Roman"/>
          <w:bCs/>
        </w:rPr>
        <w:t>Compétences dans les applications courantes de logiciel de bureau (Word et Excel) et de communication</w:t>
      </w:r>
      <w:r w:rsidR="0057626F">
        <w:rPr>
          <w:rFonts w:cs="Times New Roman"/>
          <w:bCs/>
        </w:rPr>
        <w:t xml:space="preserve"> (infographie)</w:t>
      </w:r>
      <w:r w:rsidRPr="00696E9E">
        <w:rPr>
          <w:rFonts w:cs="Times New Roman"/>
          <w:bCs/>
        </w:rPr>
        <w:t xml:space="preserve">. </w:t>
      </w:r>
    </w:p>
    <w:p w14:paraId="6A27F42A" w14:textId="4F3D9D1D" w:rsidR="00B13471" w:rsidRPr="00696E9E" w:rsidRDefault="00696E9E" w:rsidP="00696E9E">
      <w:pPr>
        <w:pStyle w:val="Heading1"/>
      </w:pPr>
      <w:r w:rsidRPr="00696E9E">
        <w:t xml:space="preserve">Dossier </w:t>
      </w:r>
      <w:r>
        <w:t>et m</w:t>
      </w:r>
      <w:r w:rsidR="00BE2FD5" w:rsidRPr="00696E9E">
        <w:t>odalités de soumission</w:t>
      </w:r>
      <w:r w:rsidR="004B7039" w:rsidRPr="00696E9E">
        <w:t xml:space="preserve"> des offres</w:t>
      </w:r>
    </w:p>
    <w:p w14:paraId="69FF0D5E" w14:textId="20102D5C" w:rsidR="00CD1069" w:rsidRPr="00696E9E" w:rsidRDefault="00B13471" w:rsidP="00696E9E">
      <w:pPr>
        <w:pStyle w:val="ListParagraph"/>
        <w:tabs>
          <w:tab w:val="left" w:pos="284"/>
          <w:tab w:val="left" w:pos="426"/>
        </w:tabs>
        <w:spacing w:before="240" w:after="0" w:line="240" w:lineRule="auto"/>
        <w:ind w:left="0"/>
        <w:jc w:val="both"/>
        <w:rPr>
          <w:rFonts w:cs="Times New Roman"/>
          <w:bCs/>
        </w:rPr>
      </w:pPr>
      <w:r w:rsidRPr="00696E9E">
        <w:rPr>
          <w:rFonts w:cs="Times New Roman"/>
          <w:bCs/>
        </w:rPr>
        <w:t>Cette consultation est ouverte aux consultants</w:t>
      </w:r>
      <w:r w:rsidR="00DB3DAD" w:rsidRPr="00696E9E">
        <w:rPr>
          <w:rFonts w:cs="Times New Roman"/>
          <w:bCs/>
        </w:rPr>
        <w:t>/bureaux d’études</w:t>
      </w:r>
      <w:r w:rsidRPr="00696E9E">
        <w:rPr>
          <w:rFonts w:cs="Times New Roman"/>
          <w:bCs/>
        </w:rPr>
        <w:t xml:space="preserve"> </w:t>
      </w:r>
      <w:r w:rsidR="0057626F" w:rsidRPr="00696E9E">
        <w:rPr>
          <w:rFonts w:cs="Times New Roman"/>
          <w:bCs/>
        </w:rPr>
        <w:t>nationales</w:t>
      </w:r>
      <w:r w:rsidRPr="00696E9E">
        <w:rPr>
          <w:rFonts w:cs="Times New Roman"/>
          <w:bCs/>
        </w:rPr>
        <w:t xml:space="preserve">. </w:t>
      </w:r>
    </w:p>
    <w:p w14:paraId="19CED1A4" w14:textId="78B0D1F8" w:rsidR="00B13471" w:rsidRDefault="00DB3DAD" w:rsidP="005E534A">
      <w:pPr>
        <w:spacing w:before="240" w:after="0" w:line="360" w:lineRule="auto"/>
        <w:jc w:val="both"/>
        <w:outlineLvl w:val="0"/>
        <w:rPr>
          <w:rFonts w:cs="Times New Roman"/>
          <w:bCs/>
        </w:rPr>
      </w:pPr>
      <w:r w:rsidRPr="00696E9E">
        <w:rPr>
          <w:rFonts w:cs="Times New Roman"/>
          <w:bCs/>
        </w:rPr>
        <w:t xml:space="preserve">L’offre de soumission </w:t>
      </w:r>
      <w:r w:rsidR="00CD1069" w:rsidRPr="00696E9E">
        <w:rPr>
          <w:rFonts w:cs="Times New Roman"/>
          <w:bCs/>
        </w:rPr>
        <w:t>devra couvrir</w:t>
      </w:r>
      <w:r w:rsidR="00B13471" w:rsidRPr="00696E9E">
        <w:rPr>
          <w:rFonts w:cs="Times New Roman"/>
          <w:bCs/>
        </w:rPr>
        <w:t xml:space="preserve"> l’ensemble des </w:t>
      </w:r>
      <w:r w:rsidR="007C453D" w:rsidRPr="00696E9E">
        <w:rPr>
          <w:rFonts w:cs="Times New Roman"/>
          <w:bCs/>
        </w:rPr>
        <w:t>exigences figurant dans les termes de références</w:t>
      </w:r>
      <w:r w:rsidR="00A315D9" w:rsidRPr="00696E9E">
        <w:rPr>
          <w:rFonts w:cs="Times New Roman"/>
          <w:bCs/>
        </w:rPr>
        <w:t xml:space="preserve"> </w:t>
      </w:r>
      <w:r w:rsidR="00B13471" w:rsidRPr="00696E9E">
        <w:rPr>
          <w:rFonts w:cs="Times New Roman"/>
          <w:bCs/>
        </w:rPr>
        <w:t>de</w:t>
      </w:r>
      <w:r w:rsidR="007C453D" w:rsidRPr="00696E9E">
        <w:rPr>
          <w:rFonts w:cs="Times New Roman"/>
          <w:bCs/>
        </w:rPr>
        <w:t xml:space="preserve"> cette</w:t>
      </w:r>
      <w:r w:rsidR="00A315D9" w:rsidRPr="00696E9E">
        <w:rPr>
          <w:rFonts w:cs="Times New Roman"/>
          <w:bCs/>
        </w:rPr>
        <w:t xml:space="preserve"> </w:t>
      </w:r>
      <w:r w:rsidR="007C453D" w:rsidRPr="00696E9E">
        <w:rPr>
          <w:rFonts w:cs="Times New Roman"/>
          <w:bCs/>
        </w:rPr>
        <w:t>consultation. :</w:t>
      </w:r>
    </w:p>
    <w:p w14:paraId="65AA0E09" w14:textId="7CF23FF9" w:rsidR="00B13471" w:rsidRPr="00696E9E" w:rsidRDefault="00B13471" w:rsidP="00C6623D">
      <w:pPr>
        <w:pStyle w:val="ListParagraph"/>
        <w:numPr>
          <w:ilvl w:val="0"/>
          <w:numId w:val="11"/>
        </w:numPr>
        <w:tabs>
          <w:tab w:val="left" w:pos="284"/>
          <w:tab w:val="left" w:pos="426"/>
        </w:tabs>
        <w:spacing w:before="240" w:after="0" w:line="240" w:lineRule="auto"/>
        <w:jc w:val="both"/>
        <w:rPr>
          <w:rFonts w:cs="Times New Roman"/>
          <w:b/>
          <w:bCs/>
          <w:u w:val="single"/>
        </w:rPr>
      </w:pPr>
      <w:r w:rsidRPr="00696E9E">
        <w:rPr>
          <w:rFonts w:cs="Times New Roman"/>
          <w:b/>
          <w:bCs/>
          <w:u w:val="single"/>
        </w:rPr>
        <w:t>L’offre technique</w:t>
      </w:r>
      <w:r w:rsidR="00DB3DAD" w:rsidRPr="00696E9E">
        <w:rPr>
          <w:rFonts w:cs="Times New Roman"/>
          <w:b/>
          <w:bCs/>
          <w:u w:val="single"/>
        </w:rPr>
        <w:t> </w:t>
      </w:r>
      <w:r w:rsidR="00B91E61" w:rsidRPr="00696E9E">
        <w:rPr>
          <w:rFonts w:cs="Times New Roman"/>
          <w:b/>
          <w:bCs/>
          <w:u w:val="single"/>
        </w:rPr>
        <w:t>:</w:t>
      </w:r>
      <w:r w:rsidRPr="00696E9E">
        <w:rPr>
          <w:rFonts w:cs="Times New Roman"/>
          <w:b/>
          <w:bCs/>
          <w:u w:val="single"/>
        </w:rPr>
        <w:t xml:space="preserve">  </w:t>
      </w:r>
    </w:p>
    <w:p w14:paraId="08FFAF90" w14:textId="7121740E" w:rsidR="00696E9E" w:rsidRPr="00696E9E" w:rsidRDefault="00696E9E" w:rsidP="00696E9E">
      <w:pPr>
        <w:pStyle w:val="ListParagraph"/>
        <w:numPr>
          <w:ilvl w:val="0"/>
          <w:numId w:val="19"/>
        </w:numPr>
        <w:tabs>
          <w:tab w:val="left" w:pos="426"/>
        </w:tabs>
        <w:spacing w:before="240" w:after="0" w:line="240" w:lineRule="auto"/>
        <w:rPr>
          <w:rFonts w:cs="Times New Roman"/>
          <w:bCs/>
        </w:rPr>
      </w:pPr>
      <w:r w:rsidRPr="00696E9E">
        <w:rPr>
          <w:rFonts w:cs="Times New Roman"/>
          <w:bCs/>
        </w:rPr>
        <w:t>Une note méthodologique décrivant l’approche et les outils préconisés pour la réalisation de la prestation et un calendrier d’exécution.</w:t>
      </w:r>
    </w:p>
    <w:p w14:paraId="53FECC7A" w14:textId="04451A44" w:rsidR="00696E9E" w:rsidRPr="00696E9E" w:rsidRDefault="00696E9E" w:rsidP="00696E9E">
      <w:pPr>
        <w:pStyle w:val="ListParagraph"/>
        <w:numPr>
          <w:ilvl w:val="0"/>
          <w:numId w:val="19"/>
        </w:numPr>
        <w:tabs>
          <w:tab w:val="left" w:pos="426"/>
        </w:tabs>
        <w:spacing w:before="240" w:after="0" w:line="240" w:lineRule="auto"/>
        <w:rPr>
          <w:rFonts w:cs="Times New Roman"/>
          <w:bCs/>
        </w:rPr>
      </w:pPr>
      <w:r w:rsidRPr="00696E9E">
        <w:rPr>
          <w:rFonts w:cs="Times New Roman"/>
          <w:bCs/>
        </w:rPr>
        <w:t xml:space="preserve">Le/les CV actualisés et détaillés du/des consultant-s. </w:t>
      </w:r>
    </w:p>
    <w:p w14:paraId="70F741C1" w14:textId="6A0D63E4" w:rsidR="00696E9E" w:rsidRPr="00696E9E" w:rsidRDefault="00696E9E" w:rsidP="00696E9E">
      <w:pPr>
        <w:pStyle w:val="ListParagraph"/>
        <w:numPr>
          <w:ilvl w:val="0"/>
          <w:numId w:val="19"/>
        </w:numPr>
        <w:tabs>
          <w:tab w:val="left" w:pos="426"/>
        </w:tabs>
        <w:spacing w:before="240" w:after="0" w:line="240" w:lineRule="auto"/>
        <w:rPr>
          <w:rFonts w:cs="Times New Roman"/>
          <w:bCs/>
        </w:rPr>
      </w:pPr>
      <w:r w:rsidRPr="00696E9E">
        <w:rPr>
          <w:rFonts w:cs="Times New Roman"/>
          <w:bCs/>
        </w:rPr>
        <w:t xml:space="preserve">Une proposition financière détaillée. </w:t>
      </w:r>
    </w:p>
    <w:p w14:paraId="58A2765C" w14:textId="7B4DED29" w:rsidR="00696E9E" w:rsidRPr="00696E9E" w:rsidRDefault="00696E9E" w:rsidP="00696E9E">
      <w:pPr>
        <w:pStyle w:val="ListParagraph"/>
        <w:numPr>
          <w:ilvl w:val="0"/>
          <w:numId w:val="19"/>
        </w:numPr>
        <w:tabs>
          <w:tab w:val="left" w:pos="426"/>
        </w:tabs>
        <w:spacing w:before="240" w:after="0" w:line="240" w:lineRule="auto"/>
        <w:rPr>
          <w:rFonts w:cs="Times New Roman"/>
          <w:bCs/>
        </w:rPr>
      </w:pPr>
      <w:r w:rsidRPr="00696E9E">
        <w:rPr>
          <w:rFonts w:cs="Times New Roman"/>
          <w:bCs/>
        </w:rPr>
        <w:t>Les attestations de références du consultant/bureau d’études pour des travaux similaires.</w:t>
      </w:r>
    </w:p>
    <w:p w14:paraId="6302487B" w14:textId="73B4FC08" w:rsidR="007154E8" w:rsidRPr="00696E9E" w:rsidRDefault="007154E8" w:rsidP="00696E9E">
      <w:pPr>
        <w:pStyle w:val="ListParagraph"/>
        <w:numPr>
          <w:ilvl w:val="0"/>
          <w:numId w:val="19"/>
        </w:numPr>
        <w:tabs>
          <w:tab w:val="left" w:pos="426"/>
        </w:tabs>
        <w:spacing w:before="240" w:after="0" w:line="240" w:lineRule="auto"/>
        <w:jc w:val="both"/>
        <w:rPr>
          <w:rFonts w:cs="Times New Roman"/>
          <w:bCs/>
        </w:rPr>
      </w:pPr>
      <w:r w:rsidRPr="00696E9E">
        <w:rPr>
          <w:rFonts w:cs="Times New Roman"/>
          <w:bCs/>
        </w:rPr>
        <w:t xml:space="preserve">Copies légalisées des diplômes et attestations de référence.  </w:t>
      </w:r>
    </w:p>
    <w:p w14:paraId="69A38D4B" w14:textId="77777777" w:rsidR="00B13471" w:rsidRPr="00696E9E" w:rsidRDefault="00B13471" w:rsidP="00071EAE">
      <w:pPr>
        <w:pStyle w:val="ListParagraph"/>
        <w:numPr>
          <w:ilvl w:val="0"/>
          <w:numId w:val="19"/>
        </w:numPr>
        <w:tabs>
          <w:tab w:val="left" w:pos="426"/>
        </w:tabs>
        <w:spacing w:before="240" w:after="0" w:line="240" w:lineRule="auto"/>
        <w:jc w:val="both"/>
        <w:rPr>
          <w:rFonts w:cs="Times New Roman"/>
          <w:bCs/>
        </w:rPr>
      </w:pPr>
      <w:r w:rsidRPr="00696E9E">
        <w:rPr>
          <w:rFonts w:cs="Times New Roman"/>
          <w:bCs/>
        </w:rPr>
        <w:t xml:space="preserve">Calendrier d'exécution. </w:t>
      </w:r>
    </w:p>
    <w:p w14:paraId="427064B1" w14:textId="77777777" w:rsidR="00B13471" w:rsidRPr="00696E9E" w:rsidRDefault="00B13471" w:rsidP="00071EAE">
      <w:pPr>
        <w:pStyle w:val="ListParagraph"/>
        <w:numPr>
          <w:ilvl w:val="0"/>
          <w:numId w:val="11"/>
        </w:numPr>
        <w:tabs>
          <w:tab w:val="left" w:pos="284"/>
          <w:tab w:val="left" w:pos="426"/>
        </w:tabs>
        <w:spacing w:before="240" w:after="0" w:line="240" w:lineRule="auto"/>
        <w:jc w:val="both"/>
        <w:rPr>
          <w:rFonts w:cs="Times New Roman"/>
          <w:b/>
          <w:bCs/>
          <w:u w:val="single"/>
        </w:rPr>
      </w:pPr>
      <w:r w:rsidRPr="00696E9E">
        <w:rPr>
          <w:rFonts w:cs="Times New Roman"/>
          <w:b/>
          <w:bCs/>
          <w:u w:val="single"/>
        </w:rPr>
        <w:t xml:space="preserve">L’offre financière : </w:t>
      </w:r>
    </w:p>
    <w:p w14:paraId="6CD3AA19" w14:textId="77777777" w:rsidR="00B13471" w:rsidRPr="00696E9E" w:rsidRDefault="00B13471" w:rsidP="00C6623D">
      <w:pPr>
        <w:pStyle w:val="ListParagraph"/>
        <w:numPr>
          <w:ilvl w:val="0"/>
          <w:numId w:val="19"/>
        </w:numPr>
        <w:tabs>
          <w:tab w:val="left" w:pos="426"/>
        </w:tabs>
        <w:spacing w:before="240" w:after="0" w:line="240" w:lineRule="auto"/>
        <w:jc w:val="both"/>
        <w:rPr>
          <w:rFonts w:cs="Times New Roman"/>
          <w:bCs/>
        </w:rPr>
      </w:pPr>
      <w:r w:rsidRPr="00696E9E">
        <w:rPr>
          <w:rFonts w:cs="Times New Roman"/>
        </w:rPr>
        <w:t xml:space="preserve">Elle doit </w:t>
      </w:r>
      <w:r w:rsidRPr="00696E9E">
        <w:rPr>
          <w:rFonts w:cs="Times New Roman"/>
          <w:bCs/>
        </w:rPr>
        <w:t>comprendre le nombre de jours</w:t>
      </w:r>
      <w:r w:rsidR="007C453D" w:rsidRPr="00696E9E">
        <w:rPr>
          <w:rFonts w:cs="Times New Roman"/>
          <w:bCs/>
        </w:rPr>
        <w:t xml:space="preserve"> de travail effectif</w:t>
      </w:r>
      <w:r w:rsidRPr="00696E9E">
        <w:rPr>
          <w:rFonts w:cs="Times New Roman"/>
          <w:bCs/>
        </w:rPr>
        <w:t xml:space="preserve"> estimé.</w:t>
      </w:r>
    </w:p>
    <w:p w14:paraId="0F316C15" w14:textId="077C1D61" w:rsidR="00AA0D76" w:rsidRPr="001E7916" w:rsidRDefault="00AA0D76" w:rsidP="001E7916">
      <w:pPr>
        <w:pStyle w:val="ListParagraph"/>
        <w:numPr>
          <w:ilvl w:val="0"/>
          <w:numId w:val="19"/>
        </w:numPr>
        <w:tabs>
          <w:tab w:val="left" w:pos="426"/>
        </w:tabs>
        <w:spacing w:before="240" w:after="0" w:line="240" w:lineRule="auto"/>
        <w:jc w:val="both"/>
        <w:rPr>
          <w:rFonts w:cs="Times New Roman"/>
          <w:bCs/>
        </w:rPr>
      </w:pPr>
      <w:r w:rsidRPr="001E7916">
        <w:rPr>
          <w:rFonts w:cs="Times New Roman"/>
          <w:bCs/>
        </w:rPr>
        <w:t xml:space="preserve">La proposition </w:t>
      </w:r>
      <w:r w:rsidR="001E7916">
        <w:rPr>
          <w:rFonts w:cs="Times New Roman"/>
          <w:bCs/>
        </w:rPr>
        <w:t>d’une liste</w:t>
      </w:r>
      <w:r w:rsidRPr="001E7916">
        <w:rPr>
          <w:rFonts w:cs="Times New Roman"/>
          <w:bCs/>
        </w:rPr>
        <w:t xml:space="preserve"> de supports de communication, </w:t>
      </w:r>
      <w:r w:rsidR="001E7916">
        <w:rPr>
          <w:rFonts w:cs="Times New Roman"/>
          <w:bCs/>
        </w:rPr>
        <w:t>à concevoir et à livrer sous format numérique</w:t>
      </w:r>
      <w:r w:rsidRPr="001E7916">
        <w:rPr>
          <w:rFonts w:cs="Times New Roman"/>
          <w:bCs/>
        </w:rPr>
        <w:t>.</w:t>
      </w:r>
    </w:p>
    <w:p w14:paraId="760C23CA" w14:textId="77777777" w:rsidR="00B13471" w:rsidRPr="00696E9E" w:rsidRDefault="00B13471" w:rsidP="00071EAE">
      <w:pPr>
        <w:pStyle w:val="ListParagraph"/>
        <w:numPr>
          <w:ilvl w:val="0"/>
          <w:numId w:val="19"/>
        </w:numPr>
        <w:tabs>
          <w:tab w:val="left" w:pos="426"/>
        </w:tabs>
        <w:spacing w:before="240" w:after="0" w:line="240" w:lineRule="auto"/>
        <w:jc w:val="both"/>
        <w:rPr>
          <w:rFonts w:cs="Times New Roman"/>
        </w:rPr>
      </w:pPr>
      <w:r w:rsidRPr="00696E9E">
        <w:rPr>
          <w:rFonts w:cs="Times New Roman"/>
          <w:bCs/>
        </w:rPr>
        <w:t>L</w:t>
      </w:r>
      <w:r w:rsidR="00C42F4F" w:rsidRPr="00696E9E">
        <w:rPr>
          <w:rFonts w:cs="Times New Roman"/>
          <w:bCs/>
        </w:rPr>
        <w:t>’offre financière en</w:t>
      </w:r>
      <w:r w:rsidRPr="00696E9E">
        <w:rPr>
          <w:rFonts w:cs="Times New Roman"/>
          <w:bCs/>
        </w:rPr>
        <w:t xml:space="preserve"> montant brut </w:t>
      </w:r>
      <w:r w:rsidR="00C42F4F" w:rsidRPr="00696E9E">
        <w:rPr>
          <w:rFonts w:cs="Times New Roman"/>
          <w:bCs/>
        </w:rPr>
        <w:t>qui est soumis à l’impôt à la charge du</w:t>
      </w:r>
      <w:r w:rsidRPr="00696E9E">
        <w:rPr>
          <w:rFonts w:cs="Times New Roman"/>
          <w:bCs/>
        </w:rPr>
        <w:t xml:space="preserve"> consultant</w:t>
      </w:r>
      <w:r w:rsidR="007154E8" w:rsidRPr="00696E9E">
        <w:rPr>
          <w:rFonts w:cs="Times New Roman"/>
          <w:bCs/>
        </w:rPr>
        <w:t xml:space="preserve"> (incluant les honoraire</w:t>
      </w:r>
      <w:r w:rsidR="00A315D9" w:rsidRPr="00696E9E">
        <w:rPr>
          <w:rFonts w:cs="Times New Roman"/>
          <w:bCs/>
        </w:rPr>
        <w:t>s</w:t>
      </w:r>
      <w:r w:rsidR="007154E8" w:rsidRPr="00696E9E">
        <w:rPr>
          <w:rFonts w:cs="Times New Roman"/>
        </w:rPr>
        <w:t xml:space="preserve"> et les éventuels frais de déplacement s’il en aura besoin)</w:t>
      </w:r>
      <w:r w:rsidRPr="00696E9E">
        <w:rPr>
          <w:rFonts w:cs="Times New Roman"/>
        </w:rPr>
        <w:t xml:space="preserve">. </w:t>
      </w:r>
    </w:p>
    <w:p w14:paraId="4AC5E522" w14:textId="21427C60" w:rsidR="007154E8" w:rsidRPr="00696E9E" w:rsidRDefault="00917335" w:rsidP="00696E9E">
      <w:pPr>
        <w:pStyle w:val="Heading1"/>
      </w:pPr>
      <w:r w:rsidRPr="00696E9E">
        <w:t>E</w:t>
      </w:r>
      <w:r w:rsidR="004B7039" w:rsidRPr="00696E9E">
        <w:t>valuation de l’offre</w:t>
      </w:r>
      <w:r w:rsidRPr="00696E9E">
        <w:t xml:space="preserve">  </w:t>
      </w:r>
    </w:p>
    <w:p w14:paraId="24F420CB" w14:textId="25D301B3" w:rsidR="007154E8" w:rsidRDefault="007154E8" w:rsidP="00DA1518">
      <w:pPr>
        <w:spacing w:before="240" w:after="0" w:line="240" w:lineRule="auto"/>
        <w:jc w:val="both"/>
        <w:outlineLvl w:val="0"/>
        <w:rPr>
          <w:rFonts w:cs="Times New Roman"/>
          <w:bCs/>
        </w:rPr>
      </w:pPr>
      <w:r w:rsidRPr="00696E9E">
        <w:rPr>
          <w:rFonts w:cs="Times New Roman"/>
        </w:rPr>
        <w:t xml:space="preserve">L’évaluation des dossiers de candidatures se fera par une commission constituée par des représentants du </w:t>
      </w:r>
      <w:r w:rsidR="00DA1518" w:rsidRPr="00696E9E">
        <w:rPr>
          <w:rFonts w:cs="Times New Roman"/>
          <w:bCs/>
        </w:rPr>
        <w:t>Ministère de la Famille</w:t>
      </w:r>
      <w:r w:rsidR="00DA1518">
        <w:rPr>
          <w:rFonts w:cs="Times New Roman"/>
          <w:bCs/>
        </w:rPr>
        <w:t>,</w:t>
      </w:r>
      <w:r w:rsidR="00DA1518" w:rsidRPr="00696E9E">
        <w:rPr>
          <w:rFonts w:cs="Times New Roman"/>
          <w:bCs/>
        </w:rPr>
        <w:t xml:space="preserve"> de la Solidarité, de </w:t>
      </w:r>
      <w:r w:rsidR="00DA1518">
        <w:rPr>
          <w:rFonts w:cs="Times New Roman"/>
          <w:bCs/>
        </w:rPr>
        <w:t>l’Egalité</w:t>
      </w:r>
      <w:r w:rsidR="00DA1518" w:rsidRPr="00696E9E">
        <w:rPr>
          <w:rFonts w:cs="Times New Roman"/>
          <w:bCs/>
        </w:rPr>
        <w:t xml:space="preserve"> et du Développement Social</w:t>
      </w:r>
      <w:r w:rsidR="00DA1518" w:rsidRPr="00696E9E">
        <w:rPr>
          <w:rFonts w:cs="Times New Roman"/>
        </w:rPr>
        <w:t xml:space="preserve"> </w:t>
      </w:r>
      <w:r w:rsidRPr="00696E9E">
        <w:rPr>
          <w:rFonts w:cs="Times New Roman"/>
        </w:rPr>
        <w:t xml:space="preserve">et de l’UNFPA. </w:t>
      </w:r>
      <w:r w:rsidRPr="00696E9E">
        <w:rPr>
          <w:rFonts w:cs="Times New Roman"/>
          <w:bCs/>
        </w:rPr>
        <w:t>L’évaluation des offres se déroulera en deux temps</w:t>
      </w:r>
      <w:r w:rsidR="004B7039" w:rsidRPr="00696E9E">
        <w:rPr>
          <w:rFonts w:cs="Times New Roman"/>
          <w:bCs/>
        </w:rPr>
        <w:t> : (i) évaluation/</w:t>
      </w:r>
      <w:r w:rsidR="00071EAE" w:rsidRPr="00696E9E">
        <w:rPr>
          <w:rFonts w:cs="Times New Roman"/>
          <w:bCs/>
        </w:rPr>
        <w:t>analyse de</w:t>
      </w:r>
      <w:r w:rsidR="004B7039" w:rsidRPr="00696E9E">
        <w:rPr>
          <w:rFonts w:cs="Times New Roman"/>
          <w:bCs/>
        </w:rPr>
        <w:t xml:space="preserve"> l’offre technique dans un premier temps, puis, (ii) évaluation de la proposition financière dans un second temps</w:t>
      </w:r>
      <w:r w:rsidRPr="00696E9E">
        <w:rPr>
          <w:rFonts w:cs="Times New Roman"/>
          <w:bCs/>
        </w:rPr>
        <w:t xml:space="preserve">. </w:t>
      </w:r>
    </w:p>
    <w:p w14:paraId="5DC66243" w14:textId="77777777" w:rsidR="00696E9E" w:rsidRPr="008703F4" w:rsidRDefault="00696E9E" w:rsidP="00696E9E">
      <w:pPr>
        <w:autoSpaceDE w:val="0"/>
        <w:autoSpaceDN w:val="0"/>
        <w:adjustRightInd w:val="0"/>
        <w:spacing w:before="240" w:after="0" w:line="240" w:lineRule="auto"/>
        <w:ind w:left="45"/>
        <w:jc w:val="both"/>
        <w:rPr>
          <w:rFonts w:eastAsia="Times New Roman" w:cs="Times New Roman"/>
          <w:b/>
          <w:bCs/>
          <w:kern w:val="28"/>
          <w:u w:val="single"/>
        </w:rPr>
      </w:pPr>
      <w:r w:rsidRPr="008703F4">
        <w:rPr>
          <w:rFonts w:eastAsia="Times New Roman" w:cs="Times New Roman"/>
          <w:b/>
          <w:bCs/>
          <w:kern w:val="28"/>
          <w:u w:val="single"/>
        </w:rPr>
        <w:t xml:space="preserve">Phase 1 : Analyse technique comparative des offres : </w:t>
      </w:r>
    </w:p>
    <w:p w14:paraId="1EB4976F" w14:textId="2FDB8E26" w:rsidR="00696E9E" w:rsidRDefault="00696E9E" w:rsidP="005E534A">
      <w:pPr>
        <w:spacing w:before="240" w:after="0" w:line="240" w:lineRule="auto"/>
        <w:jc w:val="both"/>
        <w:outlineLvl w:val="0"/>
        <w:rPr>
          <w:rFonts w:cs="Times New Roman"/>
          <w:bCs/>
        </w:rPr>
      </w:pPr>
      <w:r w:rsidRPr="008977AA">
        <w:rPr>
          <w:rFonts w:cs="Times New Roman"/>
          <w:bCs/>
        </w:rPr>
        <w:lastRenderedPageBreak/>
        <w:t xml:space="preserve">Pendant cette phase, il sera procédé à la comparaison technique des offres. Les offres techniques seront évaluées sur la base de leur degré de pertinence à la réponse aux termes de références. Une note technique </w:t>
      </w:r>
      <w:r>
        <w:rPr>
          <w:rFonts w:cs="Times New Roman"/>
          <w:bCs/>
        </w:rPr>
        <w:t>N</w:t>
      </w:r>
      <w:r w:rsidRPr="008977AA">
        <w:rPr>
          <w:rFonts w:cs="Times New Roman"/>
          <w:b/>
          <w:bCs/>
        </w:rPr>
        <w:t>T</w:t>
      </w:r>
      <w:r w:rsidRPr="008977AA">
        <w:rPr>
          <w:rFonts w:cs="Times New Roman"/>
          <w:bCs/>
        </w:rPr>
        <w:t xml:space="preserve"> sur </w:t>
      </w:r>
      <w:r w:rsidRPr="008977AA">
        <w:rPr>
          <w:rFonts w:cs="Times New Roman"/>
          <w:b/>
        </w:rPr>
        <w:t>100</w:t>
      </w:r>
      <w:r w:rsidRPr="008977AA">
        <w:rPr>
          <w:rFonts w:cs="Times New Roman"/>
          <w:bCs/>
        </w:rPr>
        <w:t xml:space="preserve"> sera attribuée à chaque offre, sur la </w:t>
      </w:r>
      <w:r w:rsidRPr="00591C55">
        <w:rPr>
          <w:rFonts w:cs="Times New Roman"/>
          <w:bCs/>
        </w:rPr>
        <w:t xml:space="preserve">base de la grille </w:t>
      </w:r>
      <w:r w:rsidRPr="008977AA">
        <w:rPr>
          <w:rFonts w:cs="Times New Roman"/>
          <w:bCs/>
        </w:rPr>
        <w:t>d’évaluation suivante :</w:t>
      </w:r>
    </w:p>
    <w:tbl>
      <w:tblPr>
        <w:tblStyle w:val="TableGrid"/>
        <w:tblW w:w="9746" w:type="dxa"/>
        <w:tblInd w:w="-176" w:type="dxa"/>
        <w:tblLook w:val="04A0" w:firstRow="1" w:lastRow="0" w:firstColumn="1" w:lastColumn="0" w:noHBand="0" w:noVBand="1"/>
      </w:tblPr>
      <w:tblGrid>
        <w:gridCol w:w="6919"/>
        <w:gridCol w:w="1587"/>
        <w:gridCol w:w="1240"/>
      </w:tblGrid>
      <w:tr w:rsidR="00696E9E" w:rsidRPr="008977AA" w14:paraId="71A736D4" w14:textId="77777777" w:rsidTr="0057626F">
        <w:trPr>
          <w:trHeight w:val="129"/>
          <w:tblHeader/>
        </w:trPr>
        <w:tc>
          <w:tcPr>
            <w:tcW w:w="6919"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14:paraId="112230CE" w14:textId="77777777" w:rsidR="00696E9E" w:rsidRPr="008977AA" w:rsidRDefault="00696E9E" w:rsidP="00DB51A6">
            <w:pPr>
              <w:jc w:val="center"/>
              <w:rPr>
                <w:rFonts w:cs="Times New Roman"/>
                <w:bCs/>
              </w:rPr>
            </w:pPr>
            <w:r w:rsidRPr="008977AA">
              <w:rPr>
                <w:rFonts w:cs="Times New Roman"/>
                <w:b/>
                <w:bCs/>
              </w:rPr>
              <w:t>Grille d’évaluation</w:t>
            </w:r>
          </w:p>
        </w:tc>
        <w:tc>
          <w:tcPr>
            <w:tcW w:w="2827" w:type="dxa"/>
            <w:gridSpan w:val="2"/>
            <w:tcBorders>
              <w:top w:val="single" w:sz="12" w:space="0" w:color="auto"/>
              <w:left w:val="single" w:sz="2" w:space="0" w:color="auto"/>
              <w:bottom w:val="single" w:sz="12" w:space="0" w:color="auto"/>
              <w:right w:val="single" w:sz="12" w:space="0" w:color="auto"/>
            </w:tcBorders>
            <w:shd w:val="clear" w:color="auto" w:fill="D9D9D9" w:themeFill="background1" w:themeFillShade="D9"/>
          </w:tcPr>
          <w:p w14:paraId="67B6FA24" w14:textId="77777777" w:rsidR="00696E9E" w:rsidRPr="008977AA" w:rsidRDefault="00696E9E" w:rsidP="00DB51A6">
            <w:pPr>
              <w:jc w:val="center"/>
              <w:rPr>
                <w:rFonts w:cs="Times New Roman"/>
                <w:b/>
                <w:bCs/>
              </w:rPr>
            </w:pPr>
            <w:r w:rsidRPr="008977AA">
              <w:rPr>
                <w:rFonts w:cs="Times New Roman"/>
                <w:b/>
                <w:bCs/>
              </w:rPr>
              <w:t>100</w:t>
            </w:r>
          </w:p>
        </w:tc>
      </w:tr>
      <w:tr w:rsidR="00696E9E" w:rsidRPr="008977AA" w14:paraId="0E2FAECB" w14:textId="77777777" w:rsidTr="0057626F">
        <w:trPr>
          <w:trHeight w:val="312"/>
        </w:trPr>
        <w:tc>
          <w:tcPr>
            <w:tcW w:w="6919" w:type="dxa"/>
            <w:tcBorders>
              <w:top w:val="single" w:sz="12" w:space="0" w:color="auto"/>
              <w:left w:val="single" w:sz="12" w:space="0" w:color="auto"/>
              <w:bottom w:val="single" w:sz="2" w:space="0" w:color="auto"/>
              <w:right w:val="single" w:sz="2" w:space="0" w:color="auto"/>
            </w:tcBorders>
            <w:shd w:val="clear" w:color="auto" w:fill="F2F2F2" w:themeFill="background1" w:themeFillShade="F2"/>
          </w:tcPr>
          <w:p w14:paraId="36EF579B" w14:textId="77777777" w:rsidR="00696E9E" w:rsidRPr="008977AA" w:rsidRDefault="00696E9E" w:rsidP="00DB51A6">
            <w:pPr>
              <w:rPr>
                <w:rFonts w:cs="Times New Roman"/>
                <w:b/>
                <w:bCs/>
              </w:rPr>
            </w:pPr>
            <w:r w:rsidRPr="008977AA">
              <w:rPr>
                <w:rFonts w:cs="Times New Roman"/>
                <w:b/>
                <w:bCs/>
              </w:rPr>
              <w:t>1 Expertise et formation du soumissionnaire</w:t>
            </w:r>
          </w:p>
        </w:tc>
        <w:tc>
          <w:tcPr>
            <w:tcW w:w="2827" w:type="dxa"/>
            <w:gridSpan w:val="2"/>
            <w:tcBorders>
              <w:top w:val="single" w:sz="12" w:space="0" w:color="auto"/>
              <w:left w:val="single" w:sz="2" w:space="0" w:color="auto"/>
              <w:bottom w:val="single" w:sz="2" w:space="0" w:color="auto"/>
              <w:right w:val="single" w:sz="12" w:space="0" w:color="auto"/>
            </w:tcBorders>
            <w:shd w:val="clear" w:color="auto" w:fill="F2F2F2" w:themeFill="background1" w:themeFillShade="F2"/>
          </w:tcPr>
          <w:p w14:paraId="1700A110" w14:textId="77777777" w:rsidR="00696E9E" w:rsidRPr="008977AA" w:rsidRDefault="00696E9E" w:rsidP="00DB51A6">
            <w:pPr>
              <w:jc w:val="center"/>
              <w:rPr>
                <w:rFonts w:cs="Times New Roman"/>
                <w:b/>
                <w:bCs/>
              </w:rPr>
            </w:pPr>
            <w:r w:rsidRPr="008977AA">
              <w:rPr>
                <w:rFonts w:cs="Times New Roman"/>
                <w:b/>
                <w:bCs/>
              </w:rPr>
              <w:t>50</w:t>
            </w:r>
          </w:p>
        </w:tc>
      </w:tr>
      <w:tr w:rsidR="00696E9E" w:rsidRPr="008977AA" w14:paraId="38E358FF" w14:textId="77777777" w:rsidTr="0057626F">
        <w:trPr>
          <w:trHeight w:val="1421"/>
        </w:trPr>
        <w:tc>
          <w:tcPr>
            <w:tcW w:w="6919" w:type="dxa"/>
            <w:tcBorders>
              <w:top w:val="single" w:sz="2" w:space="0" w:color="auto"/>
              <w:left w:val="single" w:sz="12" w:space="0" w:color="auto"/>
              <w:bottom w:val="single" w:sz="2" w:space="0" w:color="auto"/>
              <w:right w:val="single" w:sz="2" w:space="0" w:color="auto"/>
            </w:tcBorders>
          </w:tcPr>
          <w:p w14:paraId="56515C44" w14:textId="77777777" w:rsidR="00696E9E" w:rsidRPr="008977AA" w:rsidRDefault="00696E9E" w:rsidP="00DB51A6">
            <w:pPr>
              <w:rPr>
                <w:rFonts w:cs="Times New Roman"/>
                <w:bCs/>
              </w:rPr>
            </w:pPr>
            <w:r w:rsidRPr="008977AA">
              <w:rPr>
                <w:rFonts w:cs="Times New Roman"/>
                <w:b/>
                <w:bCs/>
              </w:rPr>
              <w:t>1.1 Expérience et expertise dans le domaine d’intervention de la prestation :</w:t>
            </w:r>
          </w:p>
          <w:p w14:paraId="0A4D713A" w14:textId="77777777" w:rsidR="00696E9E" w:rsidRPr="008977AA" w:rsidRDefault="00696E9E" w:rsidP="00DB51A6">
            <w:pPr>
              <w:pStyle w:val="ListParagraph"/>
              <w:numPr>
                <w:ilvl w:val="0"/>
                <w:numId w:val="20"/>
              </w:numPr>
              <w:rPr>
                <w:rFonts w:cs="Times New Roman"/>
                <w:bCs/>
              </w:rPr>
            </w:pPr>
            <w:r w:rsidRPr="008977AA">
              <w:rPr>
                <w:rFonts w:cs="Times New Roman"/>
                <w:bCs/>
              </w:rPr>
              <w:t xml:space="preserve">Grande expérience (sup à 15 ans) </w:t>
            </w:r>
          </w:p>
          <w:p w14:paraId="57FD6D59" w14:textId="77777777" w:rsidR="00696E9E" w:rsidRPr="008977AA" w:rsidRDefault="00696E9E" w:rsidP="00DB51A6">
            <w:pPr>
              <w:pStyle w:val="ListParagraph"/>
              <w:numPr>
                <w:ilvl w:val="0"/>
                <w:numId w:val="20"/>
              </w:numPr>
              <w:rPr>
                <w:rFonts w:cs="Times New Roman"/>
                <w:bCs/>
              </w:rPr>
            </w:pPr>
            <w:r w:rsidRPr="008977AA">
              <w:rPr>
                <w:rFonts w:cs="Times New Roman"/>
                <w:bCs/>
              </w:rPr>
              <w:t xml:space="preserve">Assez bonne expérience (entre 10 et 15 ans) </w:t>
            </w:r>
          </w:p>
          <w:p w14:paraId="3058E0C6" w14:textId="77777777" w:rsidR="00696E9E" w:rsidRPr="008977AA" w:rsidRDefault="00696E9E" w:rsidP="00DB51A6">
            <w:pPr>
              <w:pStyle w:val="ListParagraph"/>
              <w:numPr>
                <w:ilvl w:val="0"/>
                <w:numId w:val="20"/>
              </w:numPr>
              <w:rPr>
                <w:rFonts w:cs="Times New Roman"/>
                <w:bCs/>
              </w:rPr>
            </w:pPr>
            <w:r w:rsidRPr="008977AA">
              <w:rPr>
                <w:rFonts w:cs="Times New Roman"/>
                <w:bCs/>
              </w:rPr>
              <w:t>Moyenne expérience (entre 5 et 9 ans)</w:t>
            </w:r>
          </w:p>
          <w:p w14:paraId="5CB3E5EB" w14:textId="77777777" w:rsidR="00696E9E" w:rsidRPr="008977AA" w:rsidRDefault="00696E9E" w:rsidP="00DB51A6">
            <w:pPr>
              <w:pStyle w:val="ListParagraph"/>
              <w:numPr>
                <w:ilvl w:val="0"/>
                <w:numId w:val="20"/>
              </w:numPr>
              <w:rPr>
                <w:rFonts w:cs="Times New Roman"/>
                <w:bCs/>
              </w:rPr>
            </w:pPr>
            <w:r w:rsidRPr="008977AA">
              <w:rPr>
                <w:rFonts w:cs="Times New Roman"/>
                <w:bCs/>
              </w:rPr>
              <w:t>Faible expérience (moins de 5</w:t>
            </w:r>
            <w:r>
              <w:rPr>
                <w:rFonts w:cs="Times New Roman"/>
                <w:bCs/>
              </w:rPr>
              <w:t xml:space="preserve"> </w:t>
            </w:r>
            <w:r w:rsidRPr="008977AA">
              <w:rPr>
                <w:rFonts w:cs="Times New Roman"/>
                <w:bCs/>
              </w:rPr>
              <w:t xml:space="preserve">ans) </w:t>
            </w:r>
          </w:p>
        </w:tc>
        <w:tc>
          <w:tcPr>
            <w:tcW w:w="2827" w:type="dxa"/>
            <w:gridSpan w:val="2"/>
            <w:tcBorders>
              <w:top w:val="single" w:sz="2" w:space="0" w:color="auto"/>
              <w:left w:val="single" w:sz="2" w:space="0" w:color="auto"/>
              <w:bottom w:val="single" w:sz="2" w:space="0" w:color="auto"/>
              <w:right w:val="single" w:sz="12" w:space="0" w:color="auto"/>
            </w:tcBorders>
          </w:tcPr>
          <w:p w14:paraId="7C8847FA" w14:textId="77777777" w:rsidR="00696E9E" w:rsidRPr="00B24D23" w:rsidRDefault="00696E9E" w:rsidP="00DB51A6">
            <w:pPr>
              <w:jc w:val="center"/>
              <w:rPr>
                <w:rFonts w:cs="Times New Roman"/>
                <w:b/>
              </w:rPr>
            </w:pPr>
            <w:r w:rsidRPr="00B24D23">
              <w:rPr>
                <w:rFonts w:cs="Times New Roman"/>
                <w:b/>
              </w:rPr>
              <w:t>20</w:t>
            </w:r>
          </w:p>
          <w:p w14:paraId="133E3956" w14:textId="77777777" w:rsidR="00696E9E" w:rsidRPr="008977AA" w:rsidRDefault="00696E9E" w:rsidP="00DB51A6">
            <w:pPr>
              <w:jc w:val="center"/>
              <w:rPr>
                <w:rFonts w:cs="Times New Roman"/>
                <w:bCs/>
              </w:rPr>
            </w:pPr>
            <w:r w:rsidRPr="008977AA">
              <w:rPr>
                <w:rFonts w:cs="Times New Roman"/>
                <w:bCs/>
              </w:rPr>
              <w:t>20</w:t>
            </w:r>
          </w:p>
          <w:p w14:paraId="552A40ED" w14:textId="77777777" w:rsidR="00696E9E" w:rsidRPr="008977AA" w:rsidRDefault="00696E9E" w:rsidP="00DB51A6">
            <w:pPr>
              <w:jc w:val="center"/>
              <w:rPr>
                <w:rFonts w:cs="Times New Roman"/>
                <w:bCs/>
              </w:rPr>
            </w:pPr>
            <w:r w:rsidRPr="008977AA">
              <w:rPr>
                <w:rFonts w:cs="Times New Roman"/>
                <w:bCs/>
              </w:rPr>
              <w:t>15</w:t>
            </w:r>
          </w:p>
          <w:p w14:paraId="5109B623" w14:textId="77777777" w:rsidR="00696E9E" w:rsidRPr="008977AA" w:rsidRDefault="00696E9E" w:rsidP="00DB51A6">
            <w:pPr>
              <w:jc w:val="center"/>
              <w:rPr>
                <w:rFonts w:cs="Times New Roman"/>
                <w:bCs/>
              </w:rPr>
            </w:pPr>
            <w:r w:rsidRPr="008977AA">
              <w:rPr>
                <w:rFonts w:cs="Times New Roman"/>
                <w:bCs/>
              </w:rPr>
              <w:t>10</w:t>
            </w:r>
          </w:p>
          <w:p w14:paraId="7C9D4815" w14:textId="77777777" w:rsidR="00696E9E" w:rsidRPr="008977AA" w:rsidRDefault="00696E9E" w:rsidP="00DB51A6">
            <w:pPr>
              <w:jc w:val="center"/>
              <w:rPr>
                <w:rFonts w:cs="Times New Roman"/>
                <w:bCs/>
              </w:rPr>
            </w:pPr>
            <w:r w:rsidRPr="008977AA">
              <w:rPr>
                <w:rFonts w:cs="Times New Roman"/>
                <w:bCs/>
              </w:rPr>
              <w:t>5</w:t>
            </w:r>
          </w:p>
        </w:tc>
      </w:tr>
      <w:tr w:rsidR="00696E9E" w:rsidRPr="008977AA" w14:paraId="727320B7" w14:textId="77777777" w:rsidTr="0057626F">
        <w:trPr>
          <w:trHeight w:val="1041"/>
        </w:trPr>
        <w:tc>
          <w:tcPr>
            <w:tcW w:w="6919" w:type="dxa"/>
            <w:tcBorders>
              <w:top w:val="single" w:sz="2" w:space="0" w:color="auto"/>
              <w:left w:val="single" w:sz="12" w:space="0" w:color="auto"/>
              <w:bottom w:val="single" w:sz="2" w:space="0" w:color="auto"/>
              <w:right w:val="single" w:sz="2" w:space="0" w:color="auto"/>
            </w:tcBorders>
          </w:tcPr>
          <w:p w14:paraId="04DA02C9" w14:textId="77777777" w:rsidR="00696E9E" w:rsidRPr="008977AA" w:rsidRDefault="00696E9E" w:rsidP="00DB51A6">
            <w:pPr>
              <w:rPr>
                <w:rFonts w:cs="Times New Roman"/>
                <w:b/>
                <w:bCs/>
              </w:rPr>
            </w:pPr>
            <w:r w:rsidRPr="008977AA">
              <w:rPr>
                <w:rFonts w:cs="Times New Roman"/>
                <w:b/>
                <w:bCs/>
              </w:rPr>
              <w:t>1.2 Expérience de travail avec les institutions nationales :</w:t>
            </w:r>
          </w:p>
          <w:p w14:paraId="3AA98BD2" w14:textId="77777777" w:rsidR="00696E9E" w:rsidRPr="008977AA" w:rsidRDefault="00696E9E" w:rsidP="00DB51A6">
            <w:pPr>
              <w:pStyle w:val="ListParagraph"/>
              <w:numPr>
                <w:ilvl w:val="0"/>
                <w:numId w:val="21"/>
              </w:numPr>
              <w:rPr>
                <w:rFonts w:cs="Times New Roman"/>
                <w:bCs/>
              </w:rPr>
            </w:pPr>
            <w:r>
              <w:rPr>
                <w:rFonts w:cs="Times New Roman"/>
                <w:bCs/>
              </w:rPr>
              <w:t>Grande expérience (Nbr</w:t>
            </w:r>
            <w:r w:rsidRPr="008977AA">
              <w:rPr>
                <w:rFonts w:cs="Times New Roman"/>
                <w:bCs/>
              </w:rPr>
              <w:t xml:space="preserve"> d’attestations sup à 5 ans) </w:t>
            </w:r>
          </w:p>
          <w:p w14:paraId="1565D6FA" w14:textId="77777777" w:rsidR="00696E9E" w:rsidRPr="008977AA" w:rsidRDefault="00696E9E" w:rsidP="00DB51A6">
            <w:pPr>
              <w:pStyle w:val="ListParagraph"/>
              <w:numPr>
                <w:ilvl w:val="0"/>
                <w:numId w:val="21"/>
              </w:numPr>
              <w:rPr>
                <w:rFonts w:cs="Times New Roman"/>
                <w:bCs/>
              </w:rPr>
            </w:pPr>
            <w:r w:rsidRPr="008977AA">
              <w:rPr>
                <w:rFonts w:cs="Times New Roman"/>
                <w:bCs/>
              </w:rPr>
              <w:t xml:space="preserve">Assez bonne expérience (Nbr d’attestations entre 3 et 5 ans) </w:t>
            </w:r>
          </w:p>
          <w:p w14:paraId="7EF4E692" w14:textId="77777777" w:rsidR="00696E9E" w:rsidRPr="008977AA" w:rsidRDefault="00696E9E" w:rsidP="00DB51A6">
            <w:pPr>
              <w:pStyle w:val="ListParagraph"/>
              <w:numPr>
                <w:ilvl w:val="0"/>
                <w:numId w:val="21"/>
              </w:numPr>
              <w:rPr>
                <w:rFonts w:cs="Times New Roman"/>
                <w:bCs/>
              </w:rPr>
            </w:pPr>
            <w:r>
              <w:rPr>
                <w:rFonts w:cs="Times New Roman"/>
                <w:bCs/>
              </w:rPr>
              <w:t>Moyenne expérience (Nbr</w:t>
            </w:r>
            <w:r w:rsidRPr="008977AA">
              <w:rPr>
                <w:rFonts w:cs="Times New Roman"/>
                <w:bCs/>
              </w:rPr>
              <w:t xml:space="preserve"> d’attestations moins de 3 ans) </w:t>
            </w:r>
          </w:p>
        </w:tc>
        <w:tc>
          <w:tcPr>
            <w:tcW w:w="2827" w:type="dxa"/>
            <w:gridSpan w:val="2"/>
            <w:tcBorders>
              <w:top w:val="single" w:sz="2" w:space="0" w:color="auto"/>
              <w:left w:val="single" w:sz="2" w:space="0" w:color="auto"/>
              <w:bottom w:val="single" w:sz="2" w:space="0" w:color="auto"/>
              <w:right w:val="single" w:sz="12" w:space="0" w:color="auto"/>
            </w:tcBorders>
          </w:tcPr>
          <w:p w14:paraId="143E6042" w14:textId="77777777" w:rsidR="00696E9E" w:rsidRPr="008977AA" w:rsidRDefault="00696E9E" w:rsidP="00DB51A6">
            <w:pPr>
              <w:jc w:val="center"/>
              <w:rPr>
                <w:rFonts w:cs="Times New Roman"/>
                <w:bCs/>
              </w:rPr>
            </w:pPr>
            <w:r w:rsidRPr="008977AA">
              <w:rPr>
                <w:rFonts w:cs="Times New Roman"/>
                <w:b/>
                <w:bCs/>
              </w:rPr>
              <w:t>15</w:t>
            </w:r>
          </w:p>
          <w:p w14:paraId="37FF8923" w14:textId="77777777" w:rsidR="00696E9E" w:rsidRPr="008977AA" w:rsidRDefault="00696E9E" w:rsidP="00DB51A6">
            <w:pPr>
              <w:jc w:val="center"/>
              <w:rPr>
                <w:rFonts w:cs="Times New Roman"/>
                <w:bCs/>
              </w:rPr>
            </w:pPr>
            <w:r w:rsidRPr="008977AA">
              <w:rPr>
                <w:rFonts w:cs="Times New Roman"/>
                <w:bCs/>
              </w:rPr>
              <w:t>15</w:t>
            </w:r>
          </w:p>
          <w:p w14:paraId="613CD04A" w14:textId="77777777" w:rsidR="00696E9E" w:rsidRPr="008977AA" w:rsidRDefault="00696E9E" w:rsidP="00DB51A6">
            <w:pPr>
              <w:jc w:val="center"/>
              <w:rPr>
                <w:rFonts w:cs="Times New Roman"/>
                <w:bCs/>
              </w:rPr>
            </w:pPr>
            <w:r w:rsidRPr="008977AA">
              <w:rPr>
                <w:rFonts w:cs="Times New Roman"/>
                <w:bCs/>
              </w:rPr>
              <w:t>10</w:t>
            </w:r>
          </w:p>
          <w:p w14:paraId="750F9925" w14:textId="77777777" w:rsidR="00696E9E" w:rsidRPr="008977AA" w:rsidRDefault="00696E9E" w:rsidP="00DB51A6">
            <w:pPr>
              <w:jc w:val="center"/>
              <w:rPr>
                <w:rFonts w:cs="Times New Roman"/>
                <w:bCs/>
              </w:rPr>
            </w:pPr>
            <w:r w:rsidRPr="008977AA">
              <w:rPr>
                <w:rFonts w:cs="Times New Roman"/>
                <w:bCs/>
              </w:rPr>
              <w:t>5</w:t>
            </w:r>
          </w:p>
        </w:tc>
      </w:tr>
      <w:tr w:rsidR="00696E9E" w:rsidRPr="008977AA" w14:paraId="7A79B6A3" w14:textId="77777777" w:rsidTr="0057626F">
        <w:trPr>
          <w:trHeight w:val="1018"/>
        </w:trPr>
        <w:tc>
          <w:tcPr>
            <w:tcW w:w="6919" w:type="dxa"/>
            <w:tcBorders>
              <w:top w:val="single" w:sz="2" w:space="0" w:color="auto"/>
              <w:left w:val="single" w:sz="12" w:space="0" w:color="auto"/>
              <w:bottom w:val="single" w:sz="12" w:space="0" w:color="auto"/>
              <w:right w:val="single" w:sz="2" w:space="0" w:color="auto"/>
            </w:tcBorders>
          </w:tcPr>
          <w:p w14:paraId="45BB0B7C" w14:textId="77777777" w:rsidR="00696E9E" w:rsidRPr="008977AA" w:rsidRDefault="00696E9E" w:rsidP="00DB51A6">
            <w:pPr>
              <w:rPr>
                <w:rFonts w:cs="Times New Roman"/>
                <w:b/>
                <w:bCs/>
              </w:rPr>
            </w:pPr>
            <w:r w:rsidRPr="008977AA">
              <w:rPr>
                <w:rFonts w:cs="Times New Roman"/>
                <w:b/>
                <w:bCs/>
              </w:rPr>
              <w:t>1.3 Pertinence du CV (diplôme et certificat)</w:t>
            </w:r>
          </w:p>
          <w:p w14:paraId="33B46964" w14:textId="77777777" w:rsidR="00696E9E" w:rsidRPr="008977AA" w:rsidRDefault="00696E9E" w:rsidP="00DB51A6">
            <w:pPr>
              <w:pStyle w:val="ListParagraph"/>
              <w:numPr>
                <w:ilvl w:val="0"/>
                <w:numId w:val="22"/>
              </w:numPr>
              <w:rPr>
                <w:rFonts w:cs="Times New Roman"/>
                <w:bCs/>
              </w:rPr>
            </w:pPr>
            <w:r w:rsidRPr="008977AA">
              <w:rPr>
                <w:rFonts w:cs="Times New Roman"/>
                <w:bCs/>
              </w:rPr>
              <w:t xml:space="preserve">Niveau supérieur (bac +5 et plus) </w:t>
            </w:r>
          </w:p>
          <w:p w14:paraId="2B3BF6E6" w14:textId="77777777" w:rsidR="00696E9E" w:rsidRPr="008977AA" w:rsidRDefault="00696E9E" w:rsidP="00DB51A6">
            <w:pPr>
              <w:pStyle w:val="ListParagraph"/>
              <w:numPr>
                <w:ilvl w:val="0"/>
                <w:numId w:val="22"/>
              </w:numPr>
              <w:rPr>
                <w:rFonts w:cs="Times New Roman"/>
                <w:bCs/>
              </w:rPr>
            </w:pPr>
            <w:r w:rsidRPr="008977AA">
              <w:rPr>
                <w:rFonts w:cs="Times New Roman"/>
                <w:bCs/>
              </w:rPr>
              <w:t xml:space="preserve">Moyen (bac +3) </w:t>
            </w:r>
          </w:p>
          <w:p w14:paraId="367B99AA" w14:textId="77777777" w:rsidR="00696E9E" w:rsidRPr="008977AA" w:rsidRDefault="00696E9E" w:rsidP="00DB51A6">
            <w:pPr>
              <w:pStyle w:val="ListParagraph"/>
              <w:numPr>
                <w:ilvl w:val="0"/>
                <w:numId w:val="22"/>
              </w:numPr>
              <w:rPr>
                <w:rFonts w:cs="Times New Roman"/>
                <w:bCs/>
              </w:rPr>
            </w:pPr>
            <w:r w:rsidRPr="008977AA">
              <w:rPr>
                <w:rFonts w:cs="Times New Roman"/>
                <w:bCs/>
              </w:rPr>
              <w:t>Bac &lt;diplôme &lt; bac +3)</w:t>
            </w:r>
          </w:p>
        </w:tc>
        <w:tc>
          <w:tcPr>
            <w:tcW w:w="2827" w:type="dxa"/>
            <w:gridSpan w:val="2"/>
            <w:tcBorders>
              <w:top w:val="single" w:sz="2" w:space="0" w:color="auto"/>
              <w:left w:val="single" w:sz="2" w:space="0" w:color="auto"/>
              <w:bottom w:val="single" w:sz="12" w:space="0" w:color="auto"/>
              <w:right w:val="single" w:sz="12" w:space="0" w:color="auto"/>
            </w:tcBorders>
          </w:tcPr>
          <w:p w14:paraId="3EC2ECDE" w14:textId="77777777" w:rsidR="00696E9E" w:rsidRPr="008977AA" w:rsidRDefault="00696E9E" w:rsidP="00DB51A6">
            <w:pPr>
              <w:jc w:val="center"/>
              <w:rPr>
                <w:rFonts w:cs="Times New Roman"/>
                <w:b/>
                <w:bCs/>
              </w:rPr>
            </w:pPr>
            <w:r w:rsidRPr="008977AA">
              <w:rPr>
                <w:rFonts w:cs="Times New Roman"/>
                <w:b/>
                <w:bCs/>
              </w:rPr>
              <w:t>15</w:t>
            </w:r>
          </w:p>
          <w:p w14:paraId="5705DFE2" w14:textId="77777777" w:rsidR="00696E9E" w:rsidRPr="008977AA" w:rsidRDefault="00696E9E" w:rsidP="00DB51A6">
            <w:pPr>
              <w:jc w:val="center"/>
              <w:rPr>
                <w:rFonts w:cs="Times New Roman"/>
                <w:bCs/>
              </w:rPr>
            </w:pPr>
            <w:r w:rsidRPr="008977AA">
              <w:rPr>
                <w:rFonts w:cs="Times New Roman"/>
                <w:bCs/>
              </w:rPr>
              <w:t>15</w:t>
            </w:r>
          </w:p>
          <w:p w14:paraId="176AB5C6" w14:textId="77777777" w:rsidR="00696E9E" w:rsidRPr="008977AA" w:rsidRDefault="00696E9E" w:rsidP="00DB51A6">
            <w:pPr>
              <w:jc w:val="center"/>
              <w:rPr>
                <w:rFonts w:cs="Times New Roman"/>
                <w:bCs/>
              </w:rPr>
            </w:pPr>
            <w:r w:rsidRPr="008977AA">
              <w:rPr>
                <w:rFonts w:cs="Times New Roman"/>
                <w:bCs/>
              </w:rPr>
              <w:t>10</w:t>
            </w:r>
          </w:p>
          <w:p w14:paraId="73CC2A25" w14:textId="77777777" w:rsidR="00696E9E" w:rsidRPr="008977AA" w:rsidRDefault="00696E9E" w:rsidP="00DB51A6">
            <w:pPr>
              <w:jc w:val="center"/>
              <w:rPr>
                <w:rFonts w:cs="Times New Roman"/>
                <w:bCs/>
              </w:rPr>
            </w:pPr>
            <w:r w:rsidRPr="008977AA">
              <w:rPr>
                <w:rFonts w:cs="Times New Roman"/>
                <w:bCs/>
              </w:rPr>
              <w:t>5</w:t>
            </w:r>
          </w:p>
        </w:tc>
      </w:tr>
      <w:tr w:rsidR="00696E9E" w:rsidRPr="008977AA" w14:paraId="29B4D972" w14:textId="77777777" w:rsidTr="0057626F">
        <w:tc>
          <w:tcPr>
            <w:tcW w:w="6919" w:type="dxa"/>
            <w:tcBorders>
              <w:top w:val="single" w:sz="12" w:space="0" w:color="auto"/>
              <w:left w:val="single" w:sz="12" w:space="0" w:color="auto"/>
              <w:bottom w:val="single" w:sz="2" w:space="0" w:color="auto"/>
              <w:right w:val="single" w:sz="2" w:space="0" w:color="auto"/>
            </w:tcBorders>
            <w:shd w:val="clear" w:color="auto" w:fill="F2F2F2" w:themeFill="background1" w:themeFillShade="F2"/>
          </w:tcPr>
          <w:p w14:paraId="2A608C51" w14:textId="77777777" w:rsidR="00696E9E" w:rsidRPr="008977AA" w:rsidRDefault="00696E9E" w:rsidP="00DB51A6">
            <w:pPr>
              <w:rPr>
                <w:rFonts w:cs="Times New Roman"/>
                <w:bCs/>
              </w:rPr>
            </w:pPr>
            <w:r w:rsidRPr="008977AA">
              <w:rPr>
                <w:rFonts w:cs="Times New Roman"/>
                <w:b/>
                <w:bCs/>
              </w:rPr>
              <w:t>2. Démarche méthodologique</w:t>
            </w:r>
          </w:p>
        </w:tc>
        <w:tc>
          <w:tcPr>
            <w:tcW w:w="2827" w:type="dxa"/>
            <w:gridSpan w:val="2"/>
            <w:tcBorders>
              <w:top w:val="single" w:sz="12" w:space="0" w:color="auto"/>
              <w:left w:val="single" w:sz="2" w:space="0" w:color="auto"/>
              <w:bottom w:val="single" w:sz="2" w:space="0" w:color="auto"/>
              <w:right w:val="single" w:sz="12" w:space="0" w:color="auto"/>
            </w:tcBorders>
            <w:shd w:val="clear" w:color="auto" w:fill="F2F2F2" w:themeFill="background1" w:themeFillShade="F2"/>
          </w:tcPr>
          <w:p w14:paraId="54F3D811" w14:textId="77777777" w:rsidR="00696E9E" w:rsidRPr="008977AA" w:rsidRDefault="00696E9E" w:rsidP="00DB51A6">
            <w:pPr>
              <w:jc w:val="center"/>
              <w:rPr>
                <w:rFonts w:cs="Times New Roman"/>
                <w:bCs/>
              </w:rPr>
            </w:pPr>
            <w:r w:rsidRPr="008977AA">
              <w:rPr>
                <w:rFonts w:cs="Times New Roman"/>
                <w:b/>
                <w:bCs/>
              </w:rPr>
              <w:t>50</w:t>
            </w:r>
          </w:p>
        </w:tc>
      </w:tr>
      <w:tr w:rsidR="00696E9E" w:rsidRPr="008977AA" w14:paraId="1DB7704A" w14:textId="77777777" w:rsidTr="0057626F">
        <w:tc>
          <w:tcPr>
            <w:tcW w:w="6919" w:type="dxa"/>
            <w:tcBorders>
              <w:top w:val="single" w:sz="2" w:space="0" w:color="auto"/>
              <w:left w:val="single" w:sz="12" w:space="0" w:color="auto"/>
              <w:bottom w:val="single" w:sz="12" w:space="0" w:color="auto"/>
              <w:right w:val="single" w:sz="2" w:space="0" w:color="auto"/>
            </w:tcBorders>
          </w:tcPr>
          <w:p w14:paraId="1A06B904" w14:textId="77777777" w:rsidR="00696E9E" w:rsidRPr="008977AA" w:rsidRDefault="00696E9E" w:rsidP="00DB51A6">
            <w:pPr>
              <w:pStyle w:val="ListParagraph"/>
              <w:numPr>
                <w:ilvl w:val="0"/>
                <w:numId w:val="23"/>
              </w:numPr>
              <w:rPr>
                <w:rFonts w:cs="Times New Roman"/>
                <w:bCs/>
              </w:rPr>
            </w:pPr>
            <w:r w:rsidRPr="008977AA">
              <w:rPr>
                <w:rFonts w:cs="Times New Roman"/>
                <w:bCs/>
              </w:rPr>
              <w:t>Approche méthodologique : retrace les objectifs/résultats attendus de la prestation, en détaillant le contenu et l’argumentaire et comportant une valeur ajoutée aux spécifications des TDR</w:t>
            </w:r>
          </w:p>
          <w:p w14:paraId="0EF496B0" w14:textId="77777777" w:rsidR="00696E9E" w:rsidRPr="008977AA" w:rsidRDefault="00696E9E" w:rsidP="00DB51A6">
            <w:pPr>
              <w:pStyle w:val="ListParagraph"/>
              <w:numPr>
                <w:ilvl w:val="0"/>
                <w:numId w:val="23"/>
              </w:numPr>
              <w:rPr>
                <w:rFonts w:cs="Times New Roman"/>
                <w:bCs/>
              </w:rPr>
            </w:pPr>
            <w:r w:rsidRPr="008977AA">
              <w:rPr>
                <w:rFonts w:cs="Times New Roman"/>
                <w:bCs/>
              </w:rPr>
              <w:t>Approche méthodologique : retrace les objectifs/résultats de la prestation, en détaillant le contenu/argumentaire</w:t>
            </w:r>
          </w:p>
          <w:p w14:paraId="5845954F" w14:textId="77777777" w:rsidR="00696E9E" w:rsidRPr="008977AA" w:rsidRDefault="00696E9E" w:rsidP="00DB51A6">
            <w:pPr>
              <w:pStyle w:val="ListParagraph"/>
              <w:numPr>
                <w:ilvl w:val="0"/>
                <w:numId w:val="23"/>
              </w:numPr>
              <w:rPr>
                <w:rFonts w:cs="Times New Roman"/>
                <w:bCs/>
              </w:rPr>
            </w:pPr>
            <w:r w:rsidRPr="008977AA">
              <w:rPr>
                <w:rFonts w:cs="Times New Roman"/>
                <w:bCs/>
              </w:rPr>
              <w:t>Approche méthodologique : retrace les objectifs de la prestation, sans détailler le contenu/argumentaire (se limite aux TDR)</w:t>
            </w:r>
          </w:p>
          <w:p w14:paraId="007DDA75" w14:textId="77777777" w:rsidR="00696E9E" w:rsidRPr="008977AA" w:rsidRDefault="00696E9E" w:rsidP="00DB51A6">
            <w:pPr>
              <w:pStyle w:val="ListParagraph"/>
              <w:numPr>
                <w:ilvl w:val="0"/>
                <w:numId w:val="24"/>
              </w:numPr>
              <w:rPr>
                <w:rFonts w:cs="Times New Roman"/>
                <w:bCs/>
              </w:rPr>
            </w:pPr>
            <w:r w:rsidRPr="008977AA">
              <w:rPr>
                <w:rFonts w:cs="Times New Roman"/>
                <w:bCs/>
              </w:rPr>
              <w:t>Approche méthodologique : incohérente et/ou non conforme aux TDR de la prestation</w:t>
            </w:r>
          </w:p>
        </w:tc>
        <w:tc>
          <w:tcPr>
            <w:tcW w:w="1587" w:type="dxa"/>
            <w:tcBorders>
              <w:top w:val="single" w:sz="2" w:space="0" w:color="auto"/>
              <w:left w:val="single" w:sz="2" w:space="0" w:color="auto"/>
              <w:bottom w:val="single" w:sz="12" w:space="0" w:color="auto"/>
              <w:right w:val="single" w:sz="2" w:space="0" w:color="auto"/>
            </w:tcBorders>
          </w:tcPr>
          <w:p w14:paraId="77327D69" w14:textId="77777777" w:rsidR="00696E9E" w:rsidRPr="008977AA" w:rsidRDefault="00696E9E" w:rsidP="00DB51A6">
            <w:pPr>
              <w:jc w:val="both"/>
              <w:rPr>
                <w:rFonts w:cs="Times New Roman"/>
                <w:bCs/>
              </w:rPr>
            </w:pPr>
            <w:r w:rsidRPr="008977AA">
              <w:rPr>
                <w:rFonts w:cs="Times New Roman"/>
                <w:bCs/>
              </w:rPr>
              <w:t>Excellente</w:t>
            </w:r>
          </w:p>
          <w:p w14:paraId="67022D37" w14:textId="77777777" w:rsidR="00696E9E" w:rsidRDefault="00696E9E" w:rsidP="00DB51A6">
            <w:pPr>
              <w:jc w:val="both"/>
              <w:rPr>
                <w:rFonts w:cs="Times New Roman"/>
                <w:bCs/>
              </w:rPr>
            </w:pPr>
          </w:p>
          <w:p w14:paraId="598D76F6" w14:textId="77777777" w:rsidR="00696E9E" w:rsidRDefault="00696E9E" w:rsidP="00DB51A6">
            <w:pPr>
              <w:jc w:val="both"/>
              <w:rPr>
                <w:rFonts w:cs="Times New Roman"/>
                <w:bCs/>
              </w:rPr>
            </w:pPr>
          </w:p>
          <w:p w14:paraId="2319AF5C" w14:textId="77777777" w:rsidR="00696E9E" w:rsidRPr="008977AA" w:rsidRDefault="00696E9E" w:rsidP="00DB51A6">
            <w:pPr>
              <w:jc w:val="both"/>
              <w:rPr>
                <w:rFonts w:cs="Times New Roman"/>
                <w:bCs/>
              </w:rPr>
            </w:pPr>
          </w:p>
          <w:p w14:paraId="2B6916CB" w14:textId="77777777" w:rsidR="00696E9E" w:rsidRDefault="00696E9E" w:rsidP="00DB51A6">
            <w:pPr>
              <w:jc w:val="both"/>
              <w:rPr>
                <w:rFonts w:cs="Times New Roman"/>
                <w:bCs/>
              </w:rPr>
            </w:pPr>
            <w:r w:rsidRPr="008977AA">
              <w:rPr>
                <w:rFonts w:cs="Times New Roman"/>
                <w:bCs/>
              </w:rPr>
              <w:t>Satisfaisante</w:t>
            </w:r>
          </w:p>
          <w:p w14:paraId="799C3053" w14:textId="77777777" w:rsidR="00696E9E" w:rsidRPr="008977AA" w:rsidRDefault="00696E9E" w:rsidP="00DB51A6">
            <w:pPr>
              <w:jc w:val="both"/>
              <w:rPr>
                <w:rFonts w:cs="Times New Roman"/>
                <w:bCs/>
              </w:rPr>
            </w:pPr>
          </w:p>
          <w:p w14:paraId="77F6E466" w14:textId="77777777" w:rsidR="00696E9E" w:rsidRDefault="00696E9E" w:rsidP="00DB51A6">
            <w:pPr>
              <w:rPr>
                <w:rFonts w:cs="Times New Roman"/>
                <w:bCs/>
              </w:rPr>
            </w:pPr>
            <w:r w:rsidRPr="008977AA">
              <w:rPr>
                <w:rFonts w:cs="Times New Roman"/>
                <w:bCs/>
              </w:rPr>
              <w:t>Acceptable</w:t>
            </w:r>
          </w:p>
          <w:p w14:paraId="55A50DD2" w14:textId="77777777" w:rsidR="00696E9E" w:rsidRPr="008977AA" w:rsidRDefault="00696E9E" w:rsidP="00DB51A6">
            <w:pPr>
              <w:rPr>
                <w:rFonts w:cs="Times New Roman"/>
                <w:bCs/>
              </w:rPr>
            </w:pPr>
          </w:p>
          <w:p w14:paraId="3810195E" w14:textId="77777777" w:rsidR="00696E9E" w:rsidRPr="008977AA" w:rsidRDefault="00696E9E" w:rsidP="00DB51A6">
            <w:pPr>
              <w:jc w:val="both"/>
              <w:rPr>
                <w:rFonts w:cs="Times New Roman"/>
                <w:bCs/>
              </w:rPr>
            </w:pPr>
            <w:r w:rsidRPr="008977AA">
              <w:rPr>
                <w:rFonts w:cs="Times New Roman"/>
                <w:bCs/>
              </w:rPr>
              <w:t>Méthodologie non conforme</w:t>
            </w:r>
          </w:p>
        </w:tc>
        <w:tc>
          <w:tcPr>
            <w:tcW w:w="1240" w:type="dxa"/>
            <w:tcBorders>
              <w:top w:val="single" w:sz="2" w:space="0" w:color="auto"/>
              <w:left w:val="single" w:sz="2" w:space="0" w:color="auto"/>
              <w:bottom w:val="single" w:sz="12" w:space="0" w:color="auto"/>
              <w:right w:val="single" w:sz="12" w:space="0" w:color="auto"/>
            </w:tcBorders>
          </w:tcPr>
          <w:p w14:paraId="5CA9EA16" w14:textId="77777777" w:rsidR="00696E9E" w:rsidRPr="008977AA" w:rsidRDefault="00696E9E" w:rsidP="00DB51A6">
            <w:pPr>
              <w:ind w:right="-36"/>
              <w:jc w:val="center"/>
              <w:rPr>
                <w:rFonts w:cs="Times New Roman"/>
                <w:bCs/>
              </w:rPr>
            </w:pPr>
            <w:r w:rsidRPr="008977AA">
              <w:rPr>
                <w:rFonts w:cs="Times New Roman"/>
                <w:bCs/>
              </w:rPr>
              <w:t>50</w:t>
            </w:r>
          </w:p>
          <w:p w14:paraId="7D863E02" w14:textId="77777777" w:rsidR="00696E9E" w:rsidRDefault="00696E9E" w:rsidP="00DB51A6">
            <w:pPr>
              <w:ind w:right="-36"/>
              <w:jc w:val="center"/>
              <w:rPr>
                <w:rFonts w:cs="Times New Roman"/>
                <w:bCs/>
              </w:rPr>
            </w:pPr>
          </w:p>
          <w:p w14:paraId="2205C1C6" w14:textId="77777777" w:rsidR="00696E9E" w:rsidRDefault="00696E9E" w:rsidP="00DB51A6">
            <w:pPr>
              <w:ind w:right="-36"/>
              <w:jc w:val="center"/>
              <w:rPr>
                <w:rFonts w:cs="Times New Roman"/>
                <w:bCs/>
              </w:rPr>
            </w:pPr>
          </w:p>
          <w:p w14:paraId="51E783E6" w14:textId="77777777" w:rsidR="00696E9E" w:rsidRPr="008977AA" w:rsidRDefault="00696E9E" w:rsidP="00DB51A6">
            <w:pPr>
              <w:ind w:right="-36"/>
              <w:jc w:val="center"/>
              <w:rPr>
                <w:rFonts w:cs="Times New Roman"/>
                <w:bCs/>
              </w:rPr>
            </w:pPr>
          </w:p>
          <w:p w14:paraId="39BBE685" w14:textId="77777777" w:rsidR="00696E9E" w:rsidRDefault="00696E9E" w:rsidP="00DB51A6">
            <w:pPr>
              <w:ind w:right="-36"/>
              <w:jc w:val="center"/>
              <w:rPr>
                <w:rFonts w:cs="Times New Roman"/>
                <w:bCs/>
              </w:rPr>
            </w:pPr>
            <w:r w:rsidRPr="008977AA">
              <w:rPr>
                <w:rFonts w:cs="Times New Roman"/>
                <w:bCs/>
              </w:rPr>
              <w:t>40</w:t>
            </w:r>
          </w:p>
          <w:p w14:paraId="78875F98" w14:textId="77777777" w:rsidR="00696E9E" w:rsidRPr="008977AA" w:rsidRDefault="00696E9E" w:rsidP="00DB51A6">
            <w:pPr>
              <w:ind w:right="-36"/>
              <w:jc w:val="center"/>
              <w:rPr>
                <w:rFonts w:cs="Times New Roman"/>
                <w:bCs/>
              </w:rPr>
            </w:pPr>
          </w:p>
          <w:p w14:paraId="7C6B3DE8" w14:textId="77777777" w:rsidR="00696E9E" w:rsidRDefault="00696E9E" w:rsidP="00DB51A6">
            <w:pPr>
              <w:ind w:right="-36"/>
              <w:jc w:val="center"/>
              <w:rPr>
                <w:rFonts w:cs="Times New Roman"/>
                <w:bCs/>
              </w:rPr>
            </w:pPr>
            <w:r w:rsidRPr="008977AA">
              <w:rPr>
                <w:rFonts w:cs="Times New Roman"/>
                <w:bCs/>
              </w:rPr>
              <w:t>30</w:t>
            </w:r>
          </w:p>
          <w:p w14:paraId="3932D881" w14:textId="77777777" w:rsidR="00696E9E" w:rsidRPr="008977AA" w:rsidRDefault="00696E9E" w:rsidP="00DB51A6">
            <w:pPr>
              <w:ind w:right="-36"/>
              <w:jc w:val="center"/>
              <w:rPr>
                <w:rFonts w:cs="Times New Roman"/>
                <w:bCs/>
              </w:rPr>
            </w:pPr>
          </w:p>
          <w:p w14:paraId="6EA8A401" w14:textId="77777777" w:rsidR="00696E9E" w:rsidRPr="008977AA" w:rsidRDefault="00696E9E" w:rsidP="00DB51A6">
            <w:pPr>
              <w:ind w:right="-36"/>
              <w:jc w:val="center"/>
              <w:rPr>
                <w:rFonts w:cs="Times New Roman"/>
                <w:bCs/>
              </w:rPr>
            </w:pPr>
            <w:r w:rsidRPr="008977AA">
              <w:rPr>
                <w:rFonts w:cs="Times New Roman"/>
                <w:bCs/>
              </w:rPr>
              <w:t>0</w:t>
            </w:r>
          </w:p>
          <w:p w14:paraId="56A89DB8" w14:textId="77777777" w:rsidR="00696E9E" w:rsidRPr="008977AA" w:rsidRDefault="00696E9E" w:rsidP="00DB51A6">
            <w:pPr>
              <w:ind w:left="708"/>
              <w:rPr>
                <w:rFonts w:cs="Times New Roman"/>
                <w:bCs/>
              </w:rPr>
            </w:pPr>
          </w:p>
        </w:tc>
      </w:tr>
    </w:tbl>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696E9E" w:rsidRPr="008977AA" w14:paraId="0479B16C" w14:textId="77777777" w:rsidTr="005E534A">
        <w:trPr>
          <w:trHeight w:val="445"/>
        </w:trPr>
        <w:tc>
          <w:tcPr>
            <w:tcW w:w="9243" w:type="dxa"/>
            <w:shd w:val="clear" w:color="auto" w:fill="auto"/>
          </w:tcPr>
          <w:p w14:paraId="51855E26" w14:textId="69BB3F2B" w:rsidR="00696E9E" w:rsidRPr="008977AA" w:rsidRDefault="00696E9E" w:rsidP="00885DAF">
            <w:pPr>
              <w:spacing w:after="0" w:line="240" w:lineRule="auto"/>
              <w:jc w:val="both"/>
              <w:outlineLvl w:val="0"/>
              <w:rPr>
                <w:rFonts w:cs="Times New Roman"/>
                <w:b/>
              </w:rPr>
            </w:pPr>
            <w:r w:rsidRPr="008977AA">
              <w:rPr>
                <w:rFonts w:cs="Times New Roman"/>
                <w:b/>
                <w:u w:val="single"/>
              </w:rPr>
              <w:t>Important</w:t>
            </w:r>
            <w:r w:rsidRPr="008977AA">
              <w:rPr>
                <w:rFonts w:cs="Times New Roman"/>
                <w:b/>
              </w:rPr>
              <w:t xml:space="preserve"> : </w:t>
            </w:r>
            <w:r w:rsidRPr="008977AA">
              <w:rPr>
                <w:rFonts w:cs="Times New Roman"/>
                <w:bCs/>
              </w:rPr>
              <w:t xml:space="preserve">Seront systématiquement éliminées à l’issue de cette phase toutes les offres ayant </w:t>
            </w:r>
            <w:r>
              <w:rPr>
                <w:rFonts w:cs="Times New Roman"/>
                <w:bCs/>
              </w:rPr>
              <w:t>o</w:t>
            </w:r>
            <w:r w:rsidRPr="008977AA">
              <w:rPr>
                <w:rFonts w:cs="Times New Roman"/>
                <w:bCs/>
              </w:rPr>
              <w:t xml:space="preserve">btenu une note technique inférieure à </w:t>
            </w:r>
            <w:r w:rsidRPr="008977AA">
              <w:rPr>
                <w:rFonts w:cs="Times New Roman"/>
                <w:b/>
              </w:rPr>
              <w:t>70</w:t>
            </w:r>
            <w:r w:rsidRPr="008977AA">
              <w:rPr>
                <w:rFonts w:cs="Times New Roman"/>
                <w:b/>
                <w:bCs/>
              </w:rPr>
              <w:t xml:space="preserve"> points</w:t>
            </w:r>
            <w:r w:rsidRPr="008977AA">
              <w:rPr>
                <w:rFonts w:cs="Times New Roman"/>
                <w:bCs/>
              </w:rPr>
              <w:t xml:space="preserve">. </w:t>
            </w:r>
          </w:p>
        </w:tc>
      </w:tr>
    </w:tbl>
    <w:p w14:paraId="4B983900" w14:textId="77777777" w:rsidR="00696E9E" w:rsidRPr="008703F4" w:rsidRDefault="00696E9E" w:rsidP="00696E9E">
      <w:pPr>
        <w:autoSpaceDE w:val="0"/>
        <w:autoSpaceDN w:val="0"/>
        <w:adjustRightInd w:val="0"/>
        <w:spacing w:before="240" w:after="0" w:line="240" w:lineRule="auto"/>
        <w:ind w:left="45"/>
        <w:jc w:val="both"/>
        <w:rPr>
          <w:rFonts w:eastAsia="Times New Roman" w:cs="Times New Roman"/>
          <w:b/>
          <w:bCs/>
          <w:kern w:val="28"/>
          <w:u w:val="single"/>
        </w:rPr>
      </w:pPr>
      <w:r w:rsidRPr="008703F4">
        <w:rPr>
          <w:rFonts w:eastAsia="Times New Roman" w:cs="Times New Roman"/>
          <w:b/>
          <w:bCs/>
          <w:kern w:val="28"/>
          <w:u w:val="single"/>
        </w:rPr>
        <w:t>Phase 2 : Analyse financière comparative des offres :</w:t>
      </w:r>
    </w:p>
    <w:p w14:paraId="29CF9AC1" w14:textId="77777777" w:rsidR="00696E9E" w:rsidRPr="008703F4" w:rsidRDefault="00696E9E" w:rsidP="005E534A">
      <w:pPr>
        <w:spacing w:after="0" w:line="240" w:lineRule="auto"/>
        <w:rPr>
          <w:rFonts w:cs="Times New Roman"/>
          <w:bCs/>
        </w:rPr>
      </w:pPr>
      <w:r w:rsidRPr="008703F4">
        <w:rPr>
          <w:rFonts w:cs="Times New Roman"/>
          <w:bCs/>
        </w:rPr>
        <w:t>A l’issue de cette phase, chaque offre financière sera dotée d’une note (</w:t>
      </w:r>
      <w:r w:rsidRPr="008703F4">
        <w:rPr>
          <w:rFonts w:cs="Times New Roman"/>
          <w:b/>
        </w:rPr>
        <w:t>NF</w:t>
      </w:r>
      <w:r w:rsidRPr="008703F4">
        <w:rPr>
          <w:rFonts w:cs="Times New Roman"/>
          <w:bCs/>
        </w:rPr>
        <w:t>) sur 100 :</w:t>
      </w:r>
    </w:p>
    <w:p w14:paraId="1C70AB38" w14:textId="77777777" w:rsidR="00696E9E" w:rsidRPr="008703F4" w:rsidRDefault="00696E9E" w:rsidP="005E534A">
      <w:pPr>
        <w:spacing w:after="0" w:line="240" w:lineRule="auto"/>
        <w:jc w:val="both"/>
        <w:outlineLvl w:val="0"/>
        <w:rPr>
          <w:rFonts w:cs="Times New Roman"/>
          <w:bCs/>
        </w:rPr>
      </w:pPr>
      <w:r w:rsidRPr="008703F4">
        <w:rPr>
          <w:rFonts w:cs="Times New Roman"/>
          <w:bCs/>
        </w:rPr>
        <w:t>La note 100 sera attribuée à l’offre valable techniquement et la moins disant. Pour les autres offres, la note sera calculée au moyen de la formule suivante :</w:t>
      </w:r>
    </w:p>
    <w:tbl>
      <w:tblPr>
        <w:tblW w:w="0" w:type="auto"/>
        <w:tblLook w:val="00A0" w:firstRow="1" w:lastRow="0" w:firstColumn="1" w:lastColumn="0" w:noHBand="0" w:noVBand="0"/>
      </w:tblPr>
      <w:tblGrid>
        <w:gridCol w:w="2660"/>
        <w:gridCol w:w="6552"/>
      </w:tblGrid>
      <w:tr w:rsidR="00696E9E" w:rsidRPr="008703F4" w14:paraId="240EA42C" w14:textId="77777777" w:rsidTr="00DB51A6">
        <w:trPr>
          <w:trHeight w:val="1079"/>
        </w:trPr>
        <w:tc>
          <w:tcPr>
            <w:tcW w:w="2660" w:type="dxa"/>
          </w:tcPr>
          <w:p w14:paraId="2965334D" w14:textId="77777777" w:rsidR="00696E9E" w:rsidRPr="008703F4" w:rsidRDefault="00696E9E" w:rsidP="00DB51A6">
            <w:pPr>
              <w:outlineLvl w:val="0"/>
              <w:rPr>
                <w:rFonts w:cs="Times New Roman"/>
                <w:bCs/>
              </w:rPr>
            </w:pPr>
            <w:r>
              <w:rPr>
                <w:rFonts w:cs="Times New Roman"/>
                <w:bCs/>
              </w:rPr>
              <w:t>N</w:t>
            </w:r>
            <w:r w:rsidRPr="008703F4">
              <w:rPr>
                <w:rFonts w:cs="Times New Roman"/>
                <w:bCs/>
              </w:rPr>
              <w:t>F= 100 *Pmin/P</w:t>
            </w:r>
          </w:p>
        </w:tc>
        <w:tc>
          <w:tcPr>
            <w:tcW w:w="6552" w:type="dxa"/>
          </w:tcPr>
          <w:p w14:paraId="2A6DCE0A" w14:textId="77777777" w:rsidR="00696E9E" w:rsidRPr="008703F4" w:rsidRDefault="00696E9E" w:rsidP="00DB51A6">
            <w:pPr>
              <w:spacing w:after="120"/>
              <w:rPr>
                <w:rFonts w:cs="Times New Roman"/>
                <w:bCs/>
                <w:i/>
                <w:iCs/>
              </w:rPr>
            </w:pPr>
            <w:r w:rsidRPr="008703F4">
              <w:rPr>
                <w:rFonts w:cs="Times New Roman"/>
                <w:bCs/>
                <w:i/>
                <w:iCs/>
              </w:rPr>
              <w:t xml:space="preserve">P : Prix de l’offre </w:t>
            </w:r>
          </w:p>
          <w:p w14:paraId="518630E5" w14:textId="6D479D2A" w:rsidR="00885DAF" w:rsidRPr="00885DAF" w:rsidRDefault="00696E9E" w:rsidP="00885DAF">
            <w:pPr>
              <w:spacing w:after="120"/>
              <w:rPr>
                <w:rFonts w:cs="Times New Roman"/>
                <w:bCs/>
                <w:i/>
                <w:iCs/>
              </w:rPr>
            </w:pPr>
            <w:r w:rsidRPr="008703F4">
              <w:rPr>
                <w:rFonts w:cs="Times New Roman"/>
                <w:bCs/>
                <w:i/>
                <w:iCs/>
              </w:rPr>
              <w:t>Pmin : Prix de l’offre valable techniquement et la moins disant</w:t>
            </w:r>
            <w:r>
              <w:rPr>
                <w:rFonts w:cs="Times New Roman"/>
                <w:bCs/>
                <w:i/>
                <w:iCs/>
              </w:rPr>
              <w:t>e</w:t>
            </w:r>
            <w:r w:rsidRPr="008703F4">
              <w:rPr>
                <w:rFonts w:cs="Times New Roman"/>
                <w:bCs/>
                <w:i/>
                <w:iCs/>
              </w:rPr>
              <w:t>.</w:t>
            </w:r>
          </w:p>
        </w:tc>
      </w:tr>
    </w:tbl>
    <w:p w14:paraId="60BD03CC" w14:textId="77777777" w:rsidR="00696E9E" w:rsidRPr="008703F4" w:rsidRDefault="00696E9E" w:rsidP="00696E9E">
      <w:pPr>
        <w:autoSpaceDE w:val="0"/>
        <w:autoSpaceDN w:val="0"/>
        <w:adjustRightInd w:val="0"/>
        <w:spacing w:before="240" w:after="0" w:line="240" w:lineRule="auto"/>
        <w:ind w:left="45"/>
        <w:jc w:val="both"/>
        <w:rPr>
          <w:rFonts w:eastAsia="Times New Roman" w:cs="Times New Roman"/>
          <w:b/>
          <w:bCs/>
          <w:kern w:val="28"/>
          <w:u w:val="single"/>
        </w:rPr>
      </w:pPr>
      <w:r w:rsidRPr="008703F4">
        <w:rPr>
          <w:rFonts w:eastAsia="Times New Roman" w:cs="Times New Roman"/>
          <w:b/>
          <w:bCs/>
          <w:kern w:val="28"/>
          <w:u w:val="single"/>
        </w:rPr>
        <w:t>Phase 3 : Analyse technico-financière :</w:t>
      </w:r>
    </w:p>
    <w:p w14:paraId="4E47A4D1" w14:textId="77777777" w:rsidR="00696E9E" w:rsidRPr="008703F4" w:rsidRDefault="00696E9E" w:rsidP="00696E9E">
      <w:pPr>
        <w:spacing w:before="120" w:after="0"/>
        <w:rPr>
          <w:rFonts w:cs="Times New Roman"/>
          <w:bCs/>
        </w:rPr>
      </w:pPr>
      <w:r w:rsidRPr="008703F4">
        <w:rPr>
          <w:rFonts w:cs="Times New Roman"/>
          <w:bCs/>
        </w:rPr>
        <w:t>Les notes techniques (</w:t>
      </w:r>
      <w:r w:rsidRPr="008703F4">
        <w:rPr>
          <w:rFonts w:cs="Times New Roman"/>
          <w:b/>
        </w:rPr>
        <w:t>NT</w:t>
      </w:r>
      <w:r w:rsidRPr="008703F4">
        <w:rPr>
          <w:rFonts w:cs="Times New Roman"/>
          <w:bCs/>
        </w:rPr>
        <w:t>) et financières (</w:t>
      </w:r>
      <w:r w:rsidRPr="008703F4">
        <w:rPr>
          <w:rFonts w:cs="Times New Roman"/>
          <w:b/>
        </w:rPr>
        <w:t>NF</w:t>
      </w:r>
      <w:r w:rsidRPr="008703F4">
        <w:rPr>
          <w:rFonts w:cs="Times New Roman"/>
          <w:bCs/>
        </w:rPr>
        <w:t>) obtenues pour chaque candidat seront pondérées respectivement par les coefficients suivants :</w:t>
      </w:r>
    </w:p>
    <w:p w14:paraId="2D8ABB7F" w14:textId="77777777" w:rsidR="00696E9E" w:rsidRPr="008703F4" w:rsidRDefault="00696E9E" w:rsidP="00696E9E">
      <w:pPr>
        <w:spacing w:after="0"/>
        <w:ind w:left="1276"/>
        <w:rPr>
          <w:rFonts w:cs="Times New Roman"/>
          <w:bCs/>
        </w:rPr>
      </w:pPr>
      <w:r w:rsidRPr="008703F4">
        <w:rPr>
          <w:rFonts w:cs="Times New Roman"/>
          <w:bCs/>
        </w:rPr>
        <w:sym w:font="Wingdings" w:char="F0E0"/>
      </w:r>
      <w:r w:rsidRPr="008703F4">
        <w:rPr>
          <w:rFonts w:cs="Times New Roman"/>
          <w:bCs/>
        </w:rPr>
        <w:t xml:space="preserve">70% pour l’offre technique </w:t>
      </w:r>
    </w:p>
    <w:p w14:paraId="3E47BB3F" w14:textId="77777777" w:rsidR="00696E9E" w:rsidRPr="008703F4" w:rsidRDefault="00696E9E" w:rsidP="00696E9E">
      <w:pPr>
        <w:spacing w:after="0"/>
        <w:ind w:left="1276"/>
        <w:rPr>
          <w:rFonts w:cs="Times New Roman"/>
          <w:bCs/>
        </w:rPr>
      </w:pPr>
      <w:r w:rsidRPr="008703F4">
        <w:rPr>
          <w:rFonts w:cs="Times New Roman"/>
          <w:bCs/>
        </w:rPr>
        <w:sym w:font="Wingdings" w:char="F0E0"/>
      </w:r>
      <w:r w:rsidRPr="008703F4">
        <w:rPr>
          <w:rFonts w:cs="Times New Roman"/>
          <w:bCs/>
        </w:rPr>
        <w:t>30% pour l’offre financière</w:t>
      </w:r>
    </w:p>
    <w:p w14:paraId="60E73DFF" w14:textId="77777777" w:rsidR="00696E9E" w:rsidRPr="008703F4" w:rsidRDefault="00696E9E" w:rsidP="00696E9E">
      <w:pPr>
        <w:ind w:left="1985"/>
        <w:outlineLvl w:val="0"/>
        <w:rPr>
          <w:rFonts w:cs="Times New Roman"/>
          <w:b/>
        </w:rPr>
      </w:pPr>
      <w:r w:rsidRPr="008703F4">
        <w:rPr>
          <w:rFonts w:cs="Times New Roman"/>
          <w:bCs/>
        </w:rPr>
        <w:tab/>
      </w:r>
      <w:r w:rsidRPr="008703F4">
        <w:rPr>
          <w:rFonts w:cs="Times New Roman"/>
          <w:b/>
        </w:rPr>
        <w:t>N</w:t>
      </w:r>
      <w:r>
        <w:rPr>
          <w:rFonts w:cs="Times New Roman"/>
          <w:b/>
        </w:rPr>
        <w:t>G</w:t>
      </w:r>
      <w:r w:rsidRPr="008703F4">
        <w:rPr>
          <w:rFonts w:cs="Times New Roman"/>
          <w:b/>
        </w:rPr>
        <w:t xml:space="preserve">= 0,7 * </w:t>
      </w:r>
      <w:r>
        <w:rPr>
          <w:rFonts w:cs="Times New Roman"/>
          <w:b/>
        </w:rPr>
        <w:t>N</w:t>
      </w:r>
      <w:r w:rsidRPr="008703F4">
        <w:rPr>
          <w:rFonts w:cs="Times New Roman"/>
          <w:b/>
        </w:rPr>
        <w:t xml:space="preserve">T + 0,3* </w:t>
      </w:r>
      <w:r>
        <w:rPr>
          <w:rFonts w:cs="Times New Roman"/>
          <w:b/>
        </w:rPr>
        <w:t>N</w:t>
      </w:r>
      <w:r w:rsidRPr="008703F4">
        <w:rPr>
          <w:rFonts w:cs="Times New Roman"/>
          <w:b/>
        </w:rPr>
        <w:t>F</w:t>
      </w:r>
    </w:p>
    <w:p w14:paraId="22423EDF" w14:textId="77777777" w:rsidR="00696E9E" w:rsidRPr="008703F4" w:rsidRDefault="00696E9E" w:rsidP="00696E9E">
      <w:pPr>
        <w:outlineLvl w:val="0"/>
        <w:rPr>
          <w:rFonts w:cs="Times New Roman"/>
        </w:rPr>
      </w:pPr>
      <w:r w:rsidRPr="008703F4">
        <w:rPr>
          <w:rFonts w:cs="Times New Roman"/>
        </w:rPr>
        <w:t xml:space="preserve">Le Contrat sera adjugé à l’offre </w:t>
      </w:r>
      <w:r w:rsidRPr="008703F4">
        <w:rPr>
          <w:rFonts w:eastAsia="Times New Roman" w:cs="Times New Roman"/>
          <w:kern w:val="28"/>
        </w:rPr>
        <w:t xml:space="preserve">du </w:t>
      </w:r>
      <w:r w:rsidRPr="008703F4">
        <w:rPr>
          <w:rFonts w:eastAsia="Times New Roman" w:cs="Times New Roman"/>
          <w:b/>
          <w:bCs/>
          <w:kern w:val="28"/>
        </w:rPr>
        <w:t>mieux disant</w:t>
      </w:r>
      <w:r w:rsidRPr="008703F4">
        <w:rPr>
          <w:rFonts w:eastAsia="Times New Roman" w:cs="Times New Roman"/>
          <w:kern w:val="28"/>
        </w:rPr>
        <w:t xml:space="preserve"> </w:t>
      </w:r>
      <w:r w:rsidRPr="008703F4">
        <w:rPr>
          <w:rFonts w:cs="Times New Roman"/>
        </w:rPr>
        <w:t xml:space="preserve">ayant obtenu </w:t>
      </w:r>
      <w:r w:rsidRPr="008703F4">
        <w:rPr>
          <w:rFonts w:cs="Times New Roman"/>
          <w:b/>
          <w:bCs/>
        </w:rPr>
        <w:t>la note globale « NG »</w:t>
      </w:r>
      <w:r w:rsidRPr="008703F4">
        <w:rPr>
          <w:rFonts w:cs="Times New Roman"/>
        </w:rPr>
        <w:t xml:space="preserve"> la </w:t>
      </w:r>
      <w:r w:rsidRPr="008703F4">
        <w:rPr>
          <w:rFonts w:cs="Times New Roman"/>
          <w:b/>
          <w:bCs/>
        </w:rPr>
        <w:t>plus élevée</w:t>
      </w:r>
      <w:r w:rsidRPr="008703F4">
        <w:rPr>
          <w:rFonts w:cs="Times New Roman"/>
        </w:rPr>
        <w:t xml:space="preserve">. </w:t>
      </w:r>
    </w:p>
    <w:p w14:paraId="74FBFE4D" w14:textId="415C9FD0" w:rsidR="00AA2974" w:rsidRPr="00696E9E" w:rsidRDefault="00796F8A" w:rsidP="00696E9E">
      <w:pPr>
        <w:pStyle w:val="Heading1"/>
      </w:pPr>
      <w:r w:rsidRPr="00696E9E">
        <w:lastRenderedPageBreak/>
        <w:t>Délai</w:t>
      </w:r>
      <w:r w:rsidR="00B66127" w:rsidRPr="00696E9E">
        <w:t xml:space="preserve"> de la consultation</w:t>
      </w:r>
      <w:r w:rsidR="00A315D9" w:rsidRPr="00696E9E">
        <w:t xml:space="preserve"> et livrables</w:t>
      </w:r>
    </w:p>
    <w:p w14:paraId="0257CADC" w14:textId="164719BC" w:rsidR="00993A2C" w:rsidRPr="00696E9E" w:rsidRDefault="00993A2C" w:rsidP="00CD1069">
      <w:pPr>
        <w:spacing w:before="240" w:after="0" w:line="240" w:lineRule="auto"/>
        <w:outlineLvl w:val="0"/>
        <w:rPr>
          <w:rFonts w:cs="Times New Roman"/>
          <w:bCs/>
        </w:rPr>
      </w:pPr>
      <w:r w:rsidRPr="00696E9E">
        <w:rPr>
          <w:rFonts w:cs="Times New Roman"/>
          <w:bCs/>
        </w:rPr>
        <w:t xml:space="preserve">La consultation se </w:t>
      </w:r>
      <w:r w:rsidR="00071EAE" w:rsidRPr="00696E9E">
        <w:rPr>
          <w:rFonts w:cs="Times New Roman"/>
          <w:bCs/>
        </w:rPr>
        <w:t xml:space="preserve">déroulera </w:t>
      </w:r>
      <w:r w:rsidR="00CD1069" w:rsidRPr="00696E9E">
        <w:rPr>
          <w:rFonts w:cs="Times New Roman"/>
          <w:bCs/>
        </w:rPr>
        <w:t xml:space="preserve">sur </w:t>
      </w:r>
      <w:r w:rsidR="00AE0B96" w:rsidRPr="00696E9E">
        <w:rPr>
          <w:rFonts w:cs="Times New Roman"/>
          <w:bCs/>
        </w:rPr>
        <w:t>soixante</w:t>
      </w:r>
      <w:r w:rsidR="00071EAE" w:rsidRPr="00696E9E">
        <w:rPr>
          <w:rFonts w:cs="Times New Roman"/>
          <w:bCs/>
        </w:rPr>
        <w:t xml:space="preserve"> (</w:t>
      </w:r>
      <w:r w:rsidR="00AE0B96" w:rsidRPr="00696E9E">
        <w:rPr>
          <w:rFonts w:cs="Times New Roman"/>
          <w:b/>
        </w:rPr>
        <w:t>6</w:t>
      </w:r>
      <w:r w:rsidR="00071EAE" w:rsidRPr="00696E9E">
        <w:rPr>
          <w:rFonts w:cs="Times New Roman"/>
          <w:b/>
        </w:rPr>
        <w:t>0</w:t>
      </w:r>
      <w:r w:rsidR="00071EAE" w:rsidRPr="00696E9E">
        <w:rPr>
          <w:rFonts w:cs="Times New Roman"/>
          <w:bCs/>
        </w:rPr>
        <w:t xml:space="preserve">) </w:t>
      </w:r>
      <w:r w:rsidRPr="00696E9E">
        <w:rPr>
          <w:rFonts w:cs="Times New Roman"/>
          <w:b/>
        </w:rPr>
        <w:t>jours</w:t>
      </w:r>
      <w:r w:rsidRPr="00696E9E">
        <w:rPr>
          <w:rFonts w:cs="Times New Roman"/>
          <w:bCs/>
        </w:rPr>
        <w:t xml:space="preserve"> </w:t>
      </w:r>
      <w:r w:rsidRPr="00696E9E">
        <w:rPr>
          <w:rFonts w:cs="Times New Roman"/>
          <w:b/>
        </w:rPr>
        <w:t>de travail (Jour/Homme)</w:t>
      </w:r>
      <w:r w:rsidR="00CD1069" w:rsidRPr="00696E9E">
        <w:rPr>
          <w:rFonts w:cs="Times New Roman"/>
          <w:bCs/>
        </w:rPr>
        <w:t>, répartis comme suit :</w:t>
      </w:r>
    </w:p>
    <w:tbl>
      <w:tblPr>
        <w:tblStyle w:val="TableGrid"/>
        <w:tblW w:w="0" w:type="auto"/>
        <w:jc w:val="center"/>
        <w:tblLook w:val="04A0" w:firstRow="1" w:lastRow="0" w:firstColumn="1" w:lastColumn="0" w:noHBand="0" w:noVBand="1"/>
      </w:tblPr>
      <w:tblGrid>
        <w:gridCol w:w="7508"/>
        <w:gridCol w:w="1377"/>
      </w:tblGrid>
      <w:tr w:rsidR="00CD1069" w:rsidRPr="00696E9E" w14:paraId="17FB2021" w14:textId="77777777" w:rsidTr="005E534A">
        <w:trPr>
          <w:trHeight w:val="223"/>
          <w:jc w:val="center"/>
        </w:trPr>
        <w:tc>
          <w:tcPr>
            <w:tcW w:w="7508" w:type="dxa"/>
            <w:vAlign w:val="center"/>
          </w:tcPr>
          <w:p w14:paraId="1E83DAF9" w14:textId="2F55700E" w:rsidR="00CD1069" w:rsidRPr="00696E9E" w:rsidRDefault="00CD1069" w:rsidP="00701B1D">
            <w:pPr>
              <w:jc w:val="center"/>
              <w:outlineLvl w:val="0"/>
              <w:rPr>
                <w:rFonts w:cs="Times New Roman"/>
                <w:b/>
                <w:bCs/>
              </w:rPr>
            </w:pPr>
            <w:r w:rsidRPr="00696E9E">
              <w:rPr>
                <w:rFonts w:cs="Times New Roman"/>
                <w:b/>
                <w:bCs/>
              </w:rPr>
              <w:t>Livrable</w:t>
            </w:r>
          </w:p>
        </w:tc>
        <w:tc>
          <w:tcPr>
            <w:tcW w:w="1377" w:type="dxa"/>
            <w:vAlign w:val="center"/>
          </w:tcPr>
          <w:p w14:paraId="43744D29" w14:textId="77777777" w:rsidR="00CD1069" w:rsidRPr="00696E9E" w:rsidRDefault="00CD1069" w:rsidP="00701B1D">
            <w:pPr>
              <w:jc w:val="center"/>
              <w:outlineLvl w:val="0"/>
              <w:rPr>
                <w:rFonts w:cs="Times New Roman"/>
                <w:b/>
                <w:bCs/>
              </w:rPr>
            </w:pPr>
            <w:r w:rsidRPr="00696E9E">
              <w:rPr>
                <w:rFonts w:cs="Times New Roman"/>
                <w:b/>
                <w:bCs/>
              </w:rPr>
              <w:t>Nombre de jours</w:t>
            </w:r>
          </w:p>
        </w:tc>
      </w:tr>
      <w:tr w:rsidR="00CD1069" w:rsidRPr="00696E9E" w14:paraId="19379D10" w14:textId="77777777" w:rsidTr="005E534A">
        <w:trPr>
          <w:trHeight w:val="333"/>
          <w:jc w:val="center"/>
        </w:trPr>
        <w:tc>
          <w:tcPr>
            <w:tcW w:w="7508" w:type="dxa"/>
          </w:tcPr>
          <w:p w14:paraId="180C4C36" w14:textId="5AA06542" w:rsidR="00CD1069" w:rsidRPr="00696E9E" w:rsidRDefault="00CD1069" w:rsidP="00C6623D">
            <w:pPr>
              <w:outlineLvl w:val="0"/>
              <w:rPr>
                <w:rFonts w:cs="Times New Roman"/>
                <w:b/>
                <w:bCs/>
              </w:rPr>
            </w:pPr>
            <w:r w:rsidRPr="00696E9E">
              <w:rPr>
                <w:rFonts w:cs="Times New Roman"/>
                <w:b/>
                <w:bCs/>
              </w:rPr>
              <w:t xml:space="preserve">Livrable </w:t>
            </w:r>
            <w:r w:rsidR="00701B1D" w:rsidRPr="00696E9E">
              <w:rPr>
                <w:rFonts w:cs="Times New Roman"/>
                <w:b/>
                <w:bCs/>
              </w:rPr>
              <w:t>1 :</w:t>
            </w:r>
            <w:r w:rsidRPr="00696E9E">
              <w:rPr>
                <w:rFonts w:cs="Times New Roman"/>
                <w:b/>
                <w:bCs/>
              </w:rPr>
              <w:t xml:space="preserve"> Note conceptuelle</w:t>
            </w:r>
          </w:p>
        </w:tc>
        <w:tc>
          <w:tcPr>
            <w:tcW w:w="1377" w:type="dxa"/>
            <w:vAlign w:val="center"/>
          </w:tcPr>
          <w:p w14:paraId="2AD46C44" w14:textId="5523A40E" w:rsidR="00CD1069" w:rsidRPr="00696E9E" w:rsidRDefault="001E7916" w:rsidP="00AE0B96">
            <w:pPr>
              <w:jc w:val="center"/>
              <w:outlineLvl w:val="0"/>
              <w:rPr>
                <w:rFonts w:cs="Times New Roman"/>
                <w:b/>
                <w:bCs/>
              </w:rPr>
            </w:pPr>
            <w:r>
              <w:rPr>
                <w:rFonts w:cs="Times New Roman"/>
                <w:b/>
                <w:bCs/>
              </w:rPr>
              <w:t>10</w:t>
            </w:r>
          </w:p>
        </w:tc>
      </w:tr>
      <w:tr w:rsidR="00CD1069" w:rsidRPr="00696E9E" w14:paraId="64FDCA91" w14:textId="77777777" w:rsidTr="005E534A">
        <w:trPr>
          <w:jc w:val="center"/>
        </w:trPr>
        <w:tc>
          <w:tcPr>
            <w:tcW w:w="7508" w:type="dxa"/>
          </w:tcPr>
          <w:p w14:paraId="05912DC2" w14:textId="237AD646" w:rsidR="00CD1069" w:rsidRPr="00696E9E" w:rsidRDefault="00CD1069" w:rsidP="00C6623D">
            <w:pPr>
              <w:outlineLvl w:val="0"/>
              <w:rPr>
                <w:rFonts w:cs="Times New Roman"/>
                <w:b/>
                <w:bCs/>
              </w:rPr>
            </w:pPr>
            <w:r w:rsidRPr="00696E9E">
              <w:rPr>
                <w:rFonts w:cs="Times New Roman"/>
                <w:b/>
                <w:bCs/>
              </w:rPr>
              <w:t xml:space="preserve">Livrable </w:t>
            </w:r>
            <w:r w:rsidR="00701B1D" w:rsidRPr="00696E9E">
              <w:rPr>
                <w:rFonts w:cs="Times New Roman"/>
                <w:b/>
                <w:bCs/>
              </w:rPr>
              <w:t>2 :</w:t>
            </w:r>
            <w:r w:rsidRPr="00696E9E">
              <w:rPr>
                <w:rFonts w:cs="Tahoma"/>
              </w:rPr>
              <w:t xml:space="preserve"> </w:t>
            </w:r>
            <w:r w:rsidRPr="00696E9E">
              <w:rPr>
                <w:rFonts w:cs="Times New Roman"/>
                <w:b/>
                <w:bCs/>
              </w:rPr>
              <w:t>Plan de communication</w:t>
            </w:r>
          </w:p>
        </w:tc>
        <w:tc>
          <w:tcPr>
            <w:tcW w:w="1377" w:type="dxa"/>
            <w:vAlign w:val="center"/>
          </w:tcPr>
          <w:p w14:paraId="2D950EC5" w14:textId="54E4B7B7" w:rsidR="00CD1069" w:rsidRPr="00696E9E" w:rsidRDefault="001E7916" w:rsidP="00AE0B96">
            <w:pPr>
              <w:jc w:val="center"/>
              <w:outlineLvl w:val="0"/>
              <w:rPr>
                <w:rFonts w:cs="Times New Roman"/>
                <w:b/>
                <w:bCs/>
              </w:rPr>
            </w:pPr>
            <w:r>
              <w:rPr>
                <w:rFonts w:cs="Times New Roman"/>
                <w:b/>
                <w:bCs/>
              </w:rPr>
              <w:t>30</w:t>
            </w:r>
          </w:p>
        </w:tc>
      </w:tr>
      <w:tr w:rsidR="00CD1069" w:rsidRPr="00696E9E" w14:paraId="07F2EB47" w14:textId="77777777" w:rsidTr="005E534A">
        <w:trPr>
          <w:trHeight w:val="203"/>
          <w:jc w:val="center"/>
        </w:trPr>
        <w:tc>
          <w:tcPr>
            <w:tcW w:w="7508" w:type="dxa"/>
          </w:tcPr>
          <w:p w14:paraId="77510832" w14:textId="669DE1C8" w:rsidR="00CD1069" w:rsidRPr="005A4C4C" w:rsidRDefault="00CD1069" w:rsidP="001E7916">
            <w:pPr>
              <w:outlineLvl w:val="0"/>
              <w:rPr>
                <w:rFonts w:cs="Times New Roman"/>
                <w:b/>
                <w:bCs/>
                <w:strike/>
              </w:rPr>
            </w:pPr>
            <w:r w:rsidRPr="001E7916">
              <w:rPr>
                <w:rFonts w:cs="Times New Roman"/>
                <w:b/>
                <w:bCs/>
              </w:rPr>
              <w:t xml:space="preserve">Livrable 3 : </w:t>
            </w:r>
            <w:r w:rsidR="001E7916">
              <w:rPr>
                <w:rFonts w:cs="Times New Roman"/>
                <w:b/>
                <w:bCs/>
              </w:rPr>
              <w:t>F</w:t>
            </w:r>
            <w:r w:rsidR="001E7916" w:rsidRPr="001E7916">
              <w:rPr>
                <w:rFonts w:cs="Times New Roman"/>
                <w:b/>
                <w:bCs/>
              </w:rPr>
              <w:t>ichiers numériques des supports de communication conçus</w:t>
            </w:r>
          </w:p>
        </w:tc>
        <w:tc>
          <w:tcPr>
            <w:tcW w:w="1377" w:type="dxa"/>
            <w:vAlign w:val="center"/>
          </w:tcPr>
          <w:p w14:paraId="7AB4591A" w14:textId="2B71F117" w:rsidR="00CD1069" w:rsidRPr="001E7916" w:rsidRDefault="001E7916" w:rsidP="001E7916">
            <w:pPr>
              <w:jc w:val="center"/>
              <w:outlineLvl w:val="0"/>
              <w:rPr>
                <w:rFonts w:cs="Times New Roman"/>
                <w:b/>
                <w:bCs/>
              </w:rPr>
            </w:pPr>
            <w:r w:rsidRPr="001E7916">
              <w:rPr>
                <w:rFonts w:cs="Times New Roman"/>
                <w:b/>
                <w:bCs/>
              </w:rPr>
              <w:t>2</w:t>
            </w:r>
            <w:r>
              <w:rPr>
                <w:rFonts w:cs="Times New Roman"/>
                <w:b/>
                <w:bCs/>
              </w:rPr>
              <w:t>0</w:t>
            </w:r>
          </w:p>
        </w:tc>
      </w:tr>
      <w:tr w:rsidR="00CD1069" w:rsidRPr="00696E9E" w14:paraId="49EBF03C" w14:textId="77777777" w:rsidTr="005E534A">
        <w:trPr>
          <w:trHeight w:val="91"/>
          <w:jc w:val="center"/>
        </w:trPr>
        <w:tc>
          <w:tcPr>
            <w:tcW w:w="7508" w:type="dxa"/>
          </w:tcPr>
          <w:p w14:paraId="0D38B54C" w14:textId="6640CE04" w:rsidR="00CD1069" w:rsidRPr="00696E9E" w:rsidRDefault="00CD1069" w:rsidP="00B55FFA">
            <w:pPr>
              <w:outlineLvl w:val="0"/>
              <w:rPr>
                <w:rFonts w:cs="Times New Roman"/>
                <w:b/>
                <w:bCs/>
              </w:rPr>
            </w:pPr>
            <w:r w:rsidRPr="00696E9E">
              <w:rPr>
                <w:rFonts w:cs="Times New Roman"/>
                <w:b/>
                <w:bCs/>
              </w:rPr>
              <w:t>Total </w:t>
            </w:r>
          </w:p>
        </w:tc>
        <w:tc>
          <w:tcPr>
            <w:tcW w:w="1377" w:type="dxa"/>
            <w:vAlign w:val="center"/>
          </w:tcPr>
          <w:p w14:paraId="538FE86B" w14:textId="186ABCBA" w:rsidR="00CD1069" w:rsidRPr="00696E9E" w:rsidRDefault="001E7916" w:rsidP="00AE0B96">
            <w:pPr>
              <w:jc w:val="center"/>
              <w:outlineLvl w:val="0"/>
              <w:rPr>
                <w:rFonts w:cs="Times New Roman"/>
                <w:b/>
                <w:bCs/>
              </w:rPr>
            </w:pPr>
            <w:r>
              <w:rPr>
                <w:rFonts w:cs="Times New Roman"/>
                <w:b/>
                <w:bCs/>
              </w:rPr>
              <w:t>60</w:t>
            </w:r>
          </w:p>
        </w:tc>
      </w:tr>
      <w:tr w:rsidR="005E534A" w:rsidRPr="00696E9E" w14:paraId="609222B0" w14:textId="77777777" w:rsidTr="005E534A">
        <w:trPr>
          <w:trHeight w:val="91"/>
          <w:jc w:val="center"/>
        </w:trPr>
        <w:tc>
          <w:tcPr>
            <w:tcW w:w="8885" w:type="dxa"/>
            <w:gridSpan w:val="2"/>
          </w:tcPr>
          <w:p w14:paraId="56D265A4" w14:textId="05503E06" w:rsidR="005E534A" w:rsidRPr="00696E9E" w:rsidRDefault="005E534A" w:rsidP="005E534A">
            <w:pPr>
              <w:jc w:val="center"/>
              <w:outlineLvl w:val="0"/>
              <w:rPr>
                <w:rFonts w:cs="Times New Roman"/>
                <w:b/>
                <w:bCs/>
              </w:rPr>
            </w:pPr>
            <w:r w:rsidRPr="008703F4">
              <w:rPr>
                <w:rFonts w:cs="Times New Roman"/>
                <w:i/>
                <w:iCs/>
                <w:sz w:val="20"/>
                <w:szCs w:val="20"/>
              </w:rPr>
              <w:t>Cette répartition est à titre indicatif</w:t>
            </w:r>
            <w:r>
              <w:rPr>
                <w:rFonts w:cs="Times New Roman"/>
                <w:i/>
                <w:iCs/>
                <w:sz w:val="20"/>
                <w:szCs w:val="20"/>
              </w:rPr>
              <w:t xml:space="preserve">, </w:t>
            </w:r>
            <w:r w:rsidRPr="008703F4">
              <w:rPr>
                <w:rFonts w:cs="Times New Roman"/>
                <w:i/>
                <w:iCs/>
                <w:sz w:val="20"/>
                <w:szCs w:val="20"/>
              </w:rPr>
              <w:t>le(a) consultant (e)/bureau d’études</w:t>
            </w:r>
            <w:r>
              <w:rPr>
                <w:rFonts w:cs="Times New Roman"/>
                <w:i/>
                <w:iCs/>
                <w:sz w:val="20"/>
                <w:szCs w:val="20"/>
              </w:rPr>
              <w:t xml:space="preserve"> est invité à proposer un calendrier exécutif.</w:t>
            </w:r>
          </w:p>
        </w:tc>
      </w:tr>
    </w:tbl>
    <w:p w14:paraId="784022F9" w14:textId="7C4DEFF1" w:rsidR="00B13471" w:rsidRPr="00696E9E" w:rsidRDefault="00796F8A" w:rsidP="00696E9E">
      <w:pPr>
        <w:pStyle w:val="Heading1"/>
      </w:pPr>
      <w:r w:rsidRPr="00696E9E">
        <w:t>Supervision</w:t>
      </w:r>
      <w:r w:rsidR="004B7039" w:rsidRPr="00696E9E">
        <w:t xml:space="preserve"> de la consultation</w:t>
      </w:r>
    </w:p>
    <w:p w14:paraId="4F8AA411" w14:textId="58964725" w:rsidR="00993A2C" w:rsidRPr="00696E9E" w:rsidRDefault="00B66127" w:rsidP="00DA1518">
      <w:pPr>
        <w:spacing w:before="240" w:after="0" w:line="240" w:lineRule="auto"/>
        <w:jc w:val="both"/>
        <w:outlineLvl w:val="0"/>
        <w:rPr>
          <w:rFonts w:cs="Times New Roman"/>
          <w:bCs/>
        </w:rPr>
      </w:pPr>
      <w:r w:rsidRPr="00696E9E">
        <w:rPr>
          <w:rFonts w:cs="Times New Roman"/>
          <w:bCs/>
        </w:rPr>
        <w:t xml:space="preserve">La consultation sera conduite sous la supervision d’un comité de suivi composé des représentants du </w:t>
      </w:r>
      <w:r w:rsidR="00DA1518" w:rsidRPr="00696E9E">
        <w:rPr>
          <w:rFonts w:cs="Times New Roman"/>
          <w:bCs/>
        </w:rPr>
        <w:t>Ministère de la Famille</w:t>
      </w:r>
      <w:r w:rsidR="00DA1518">
        <w:rPr>
          <w:rFonts w:cs="Times New Roman"/>
          <w:bCs/>
        </w:rPr>
        <w:t>,</w:t>
      </w:r>
      <w:r w:rsidR="00DA1518" w:rsidRPr="00696E9E">
        <w:rPr>
          <w:rFonts w:cs="Times New Roman"/>
          <w:bCs/>
        </w:rPr>
        <w:t xml:space="preserve"> de la Solidarité, de </w:t>
      </w:r>
      <w:r w:rsidR="00DA1518">
        <w:rPr>
          <w:rFonts w:cs="Times New Roman"/>
          <w:bCs/>
        </w:rPr>
        <w:t>l’Egalité</w:t>
      </w:r>
      <w:r w:rsidR="00DA1518" w:rsidRPr="00696E9E">
        <w:rPr>
          <w:rFonts w:cs="Times New Roman"/>
          <w:bCs/>
        </w:rPr>
        <w:t xml:space="preserve"> et du Développement Social</w:t>
      </w:r>
      <w:r w:rsidRPr="00696E9E">
        <w:rPr>
          <w:rFonts w:cs="Times New Roman"/>
          <w:bCs/>
        </w:rPr>
        <w:t xml:space="preserve"> et de l’UNFPA. Ce comité se chargera également de la validation des livrables. </w:t>
      </w:r>
      <w:r w:rsidR="00993A2C" w:rsidRPr="00696E9E">
        <w:rPr>
          <w:rFonts w:cs="Times New Roman"/>
          <w:bCs/>
        </w:rPr>
        <w:t>Le consultant devra fournir au comité de suivi la version provisoire de chaque livrable une semaine avant le jour de la tenue de l’atelier pour qu’elle soit renvoyée aux participants pour avis.</w:t>
      </w:r>
      <w:r w:rsidRPr="00696E9E">
        <w:rPr>
          <w:rFonts w:cs="Times New Roman"/>
          <w:bCs/>
        </w:rPr>
        <w:t xml:space="preserve"> </w:t>
      </w:r>
      <w:r w:rsidR="00993A2C" w:rsidRPr="00696E9E">
        <w:rPr>
          <w:rFonts w:cs="Times New Roman"/>
          <w:bCs/>
        </w:rPr>
        <w:t xml:space="preserve">Chacun des livrables doit être fournis </w:t>
      </w:r>
      <w:r w:rsidR="00993A2C" w:rsidRPr="005A4C4C">
        <w:rPr>
          <w:rFonts w:cs="Times New Roman"/>
          <w:bCs/>
          <w:strike/>
        </w:rPr>
        <w:t>à</w:t>
      </w:r>
      <w:r w:rsidR="00993A2C" w:rsidRPr="00696E9E">
        <w:rPr>
          <w:rFonts w:cs="Times New Roman"/>
          <w:bCs/>
        </w:rPr>
        <w:t xml:space="preserve"> en version papier paraphée par le consultant et en version électronique.</w:t>
      </w:r>
    </w:p>
    <w:p w14:paraId="6298CA0E" w14:textId="3B1D445D" w:rsidR="007154E8" w:rsidRPr="00696E9E" w:rsidRDefault="00D44351" w:rsidP="00696E9E">
      <w:pPr>
        <w:pStyle w:val="Heading1"/>
      </w:pPr>
      <w:r w:rsidRPr="00696E9E">
        <w:t xml:space="preserve"> </w:t>
      </w:r>
      <w:r w:rsidR="00917335" w:rsidRPr="00696E9E">
        <w:t>M</w:t>
      </w:r>
      <w:r w:rsidR="004B7039" w:rsidRPr="00696E9E">
        <w:t xml:space="preserve">odalités contractuelles et </w:t>
      </w:r>
      <w:r w:rsidR="00BE2FD5" w:rsidRPr="00696E9E">
        <w:t>financières</w:t>
      </w:r>
    </w:p>
    <w:p w14:paraId="11850E23" w14:textId="3F2DEBDF" w:rsidR="00885DAF" w:rsidRDefault="007154E8" w:rsidP="005A4C4C">
      <w:pPr>
        <w:spacing w:before="240" w:after="0" w:line="240" w:lineRule="auto"/>
        <w:jc w:val="both"/>
        <w:outlineLvl w:val="0"/>
        <w:rPr>
          <w:rFonts w:cs="Times New Roman"/>
          <w:strike/>
        </w:rPr>
      </w:pPr>
      <w:r w:rsidRPr="00696E9E">
        <w:rPr>
          <w:rFonts w:cs="Times New Roman"/>
        </w:rPr>
        <w:t xml:space="preserve">Le </w:t>
      </w:r>
      <w:r w:rsidRPr="005E534A">
        <w:rPr>
          <w:rFonts w:cs="Times New Roman"/>
          <w:bCs/>
        </w:rPr>
        <w:t>contrat</w:t>
      </w:r>
      <w:r w:rsidRPr="00696E9E">
        <w:rPr>
          <w:rFonts w:cs="Times New Roman"/>
        </w:rPr>
        <w:t xml:space="preserve"> de ladite consultation sera établi entre</w:t>
      </w:r>
      <w:r w:rsidR="00BE2FD5" w:rsidRPr="00696E9E">
        <w:rPr>
          <w:rFonts w:cs="Times New Roman"/>
        </w:rPr>
        <w:t xml:space="preserve"> </w:t>
      </w:r>
      <w:r w:rsidR="008A10E4">
        <w:rPr>
          <w:rFonts w:cs="Times New Roman"/>
        </w:rPr>
        <w:t xml:space="preserve">le </w:t>
      </w:r>
      <w:r w:rsidR="005A4C4C" w:rsidRPr="00696E9E">
        <w:rPr>
          <w:rFonts w:cs="Times New Roman"/>
          <w:bCs/>
        </w:rPr>
        <w:t>Ministère de la Famille</w:t>
      </w:r>
      <w:r w:rsidR="005A4C4C">
        <w:rPr>
          <w:rFonts w:cs="Times New Roman"/>
          <w:bCs/>
        </w:rPr>
        <w:t>,</w:t>
      </w:r>
      <w:r w:rsidR="005A4C4C" w:rsidRPr="00696E9E">
        <w:rPr>
          <w:rFonts w:cs="Times New Roman"/>
          <w:bCs/>
        </w:rPr>
        <w:t xml:space="preserve"> de la Solidarité, de </w:t>
      </w:r>
      <w:r w:rsidR="005A4C4C">
        <w:rPr>
          <w:rFonts w:cs="Times New Roman"/>
          <w:bCs/>
        </w:rPr>
        <w:t>l’Egalité</w:t>
      </w:r>
      <w:r w:rsidR="005A4C4C" w:rsidRPr="00696E9E">
        <w:rPr>
          <w:rFonts w:cs="Times New Roman"/>
          <w:bCs/>
        </w:rPr>
        <w:t xml:space="preserve"> et du Développement Social</w:t>
      </w:r>
      <w:r w:rsidR="00AE0B96" w:rsidRPr="00696E9E">
        <w:rPr>
          <w:rFonts w:cs="Times New Roman"/>
        </w:rPr>
        <w:t xml:space="preserve"> </w:t>
      </w:r>
      <w:r w:rsidRPr="00696E9E">
        <w:rPr>
          <w:rFonts w:cs="Times New Roman"/>
        </w:rPr>
        <w:t>et le(a) consultant (e)</w:t>
      </w:r>
      <w:r w:rsidR="00827869" w:rsidRPr="00696E9E">
        <w:rPr>
          <w:rFonts w:cs="Times New Roman"/>
        </w:rPr>
        <w:t>/bureau d’études</w:t>
      </w:r>
      <w:r w:rsidRPr="00696E9E">
        <w:rPr>
          <w:rFonts w:cs="Times New Roman"/>
        </w:rPr>
        <w:t xml:space="preserve">. </w:t>
      </w:r>
    </w:p>
    <w:p w14:paraId="6167E710" w14:textId="19B44F17" w:rsidR="007154E8" w:rsidRPr="00885DAF" w:rsidRDefault="004B7039" w:rsidP="00885DAF">
      <w:pPr>
        <w:spacing w:before="240" w:after="0" w:line="240" w:lineRule="auto"/>
        <w:jc w:val="both"/>
        <w:outlineLvl w:val="0"/>
        <w:rPr>
          <w:b/>
          <w:bCs/>
          <w:u w:val="single"/>
        </w:rPr>
      </w:pPr>
      <w:r w:rsidRPr="00885DAF">
        <w:rPr>
          <w:b/>
          <w:bCs/>
          <w:u w:val="single"/>
        </w:rPr>
        <w:t>Dépôt du dossier de candidature</w:t>
      </w:r>
      <w:r w:rsidR="00885DAF">
        <w:rPr>
          <w:b/>
          <w:bCs/>
          <w:u w:val="single"/>
        </w:rPr>
        <w:t> :</w:t>
      </w:r>
    </w:p>
    <w:p w14:paraId="6A183810" w14:textId="11AE6C0A" w:rsidR="00AE0B96" w:rsidRPr="00696E9E" w:rsidRDefault="00AE0B96" w:rsidP="00A30F41">
      <w:pPr>
        <w:spacing w:before="240" w:after="0" w:line="240" w:lineRule="auto"/>
        <w:jc w:val="both"/>
        <w:outlineLvl w:val="0"/>
        <w:rPr>
          <w:rFonts w:cs="Times New Roman"/>
        </w:rPr>
      </w:pPr>
      <w:r w:rsidRPr="00696E9E">
        <w:rPr>
          <w:rFonts w:cs="Times New Roman"/>
        </w:rPr>
        <w:t xml:space="preserve">Les </w:t>
      </w:r>
      <w:r w:rsidRPr="005E534A">
        <w:rPr>
          <w:rFonts w:cs="Times New Roman"/>
          <w:bCs/>
        </w:rPr>
        <w:t>candidats</w:t>
      </w:r>
      <w:r w:rsidRPr="00696E9E">
        <w:rPr>
          <w:rFonts w:cs="Times New Roman"/>
        </w:rPr>
        <w:t xml:space="preserve">/es intéressé/es sont invité/es à envoyer, sous pli fermé, leur </w:t>
      </w:r>
      <w:r w:rsidR="00074C31" w:rsidRPr="00696E9E">
        <w:rPr>
          <w:rFonts w:cs="Times New Roman"/>
        </w:rPr>
        <w:t>offre portant la mention « </w:t>
      </w:r>
      <w:r w:rsidR="00074C31" w:rsidRPr="00696E9E">
        <w:rPr>
          <w:rFonts w:cs="Times New Roman"/>
          <w:b/>
          <w:bCs/>
        </w:rPr>
        <w:t>Appel à Consultation pour L’Élaboration et la diffusion  d’un plan et des supports de communication sur la loi 103.13 relative à la lutte contre la violence à l'égard des femmes et ses mesures d’accompagnement </w:t>
      </w:r>
      <w:r w:rsidR="00074C31" w:rsidRPr="00696E9E">
        <w:rPr>
          <w:rFonts w:cs="Times New Roman"/>
        </w:rPr>
        <w:t>»</w:t>
      </w:r>
      <w:r w:rsidRPr="00696E9E">
        <w:rPr>
          <w:rFonts w:cs="Times New Roman"/>
        </w:rPr>
        <w:t xml:space="preserve"> à l’adresse suivante : </w:t>
      </w:r>
      <w:r w:rsidR="00DA1518" w:rsidRPr="00696E9E">
        <w:rPr>
          <w:rFonts w:cs="Times New Roman"/>
          <w:bCs/>
        </w:rPr>
        <w:t>Ministère de la Famille</w:t>
      </w:r>
      <w:r w:rsidR="00DA1518">
        <w:rPr>
          <w:rFonts w:cs="Times New Roman"/>
          <w:bCs/>
        </w:rPr>
        <w:t>,</w:t>
      </w:r>
      <w:r w:rsidR="00DA1518" w:rsidRPr="00696E9E">
        <w:rPr>
          <w:rFonts w:cs="Times New Roman"/>
          <w:bCs/>
        </w:rPr>
        <w:t xml:space="preserve"> de la Solidarité, de </w:t>
      </w:r>
      <w:r w:rsidR="00DA1518">
        <w:rPr>
          <w:rFonts w:cs="Times New Roman"/>
          <w:bCs/>
        </w:rPr>
        <w:t>l’Egalité</w:t>
      </w:r>
      <w:r w:rsidR="00DA1518" w:rsidRPr="00696E9E">
        <w:rPr>
          <w:rFonts w:cs="Times New Roman"/>
          <w:bCs/>
        </w:rPr>
        <w:t xml:space="preserve"> et du Développement Social</w:t>
      </w:r>
      <w:r w:rsidRPr="00696E9E">
        <w:rPr>
          <w:rFonts w:cs="Times New Roman"/>
          <w:b/>
          <w:bCs/>
        </w:rPr>
        <w:t xml:space="preserve"> – Service de la Coopération Bilatérale et Multilatérale,  47, Avenue Ibn Sina – Agdal, Rabat – Maroc</w:t>
      </w:r>
      <w:r w:rsidRPr="00696E9E">
        <w:rPr>
          <w:rFonts w:cs="Times New Roman"/>
        </w:rPr>
        <w:t xml:space="preserve">   au plus tard </w:t>
      </w:r>
      <w:r w:rsidRPr="00FD1155">
        <w:rPr>
          <w:rFonts w:cs="Times New Roman"/>
          <w:b/>
          <w:bCs/>
          <w:u w:val="single"/>
        </w:rPr>
        <w:t xml:space="preserve">le </w:t>
      </w:r>
      <w:r w:rsidR="005A4C4C">
        <w:rPr>
          <w:rFonts w:cs="Times New Roman"/>
          <w:b/>
          <w:bCs/>
          <w:u w:val="single"/>
        </w:rPr>
        <w:t>0</w:t>
      </w:r>
      <w:r w:rsidR="00A30F41">
        <w:rPr>
          <w:rFonts w:cs="Times New Roman" w:hint="cs"/>
          <w:b/>
          <w:bCs/>
          <w:u w:val="single"/>
          <w:rtl/>
        </w:rPr>
        <w:t>8</w:t>
      </w:r>
      <w:r w:rsidR="00931069">
        <w:rPr>
          <w:rFonts w:cs="Times New Roman"/>
          <w:b/>
          <w:bCs/>
          <w:u w:val="single"/>
        </w:rPr>
        <w:t xml:space="preserve"> </w:t>
      </w:r>
      <w:r w:rsidR="005A4C4C">
        <w:rPr>
          <w:rFonts w:cs="Times New Roman"/>
          <w:b/>
          <w:bCs/>
          <w:u w:val="single"/>
        </w:rPr>
        <w:t>Mai</w:t>
      </w:r>
      <w:r w:rsidRPr="00FD1155">
        <w:rPr>
          <w:rFonts w:cs="Times New Roman"/>
          <w:b/>
          <w:bCs/>
          <w:u w:val="single"/>
        </w:rPr>
        <w:t xml:space="preserve"> 2017 à 16h00</w:t>
      </w:r>
      <w:r w:rsidRPr="00696E9E">
        <w:rPr>
          <w:rFonts w:cs="Times New Roman"/>
        </w:rPr>
        <w:t>, date et heure limites de réception des candidatures.</w:t>
      </w:r>
    </w:p>
    <w:p w14:paraId="3E2BA331" w14:textId="77777777" w:rsidR="00AE0B96" w:rsidRPr="00696E9E" w:rsidRDefault="00AE0B96" w:rsidP="00B55FFA">
      <w:pPr>
        <w:spacing w:before="120" w:after="0" w:line="240" w:lineRule="auto"/>
        <w:jc w:val="both"/>
        <w:outlineLvl w:val="0"/>
        <w:rPr>
          <w:rFonts w:cs="Times New Roman"/>
        </w:rPr>
      </w:pPr>
      <w:r w:rsidRPr="00696E9E">
        <w:rPr>
          <w:rFonts w:cs="Times New Roman"/>
        </w:rPr>
        <w:t xml:space="preserve">Les jours et </w:t>
      </w:r>
      <w:r w:rsidRPr="005E534A">
        <w:rPr>
          <w:rFonts w:cs="Times New Roman"/>
          <w:bCs/>
        </w:rPr>
        <w:t>horaires</w:t>
      </w:r>
      <w:r w:rsidRPr="00696E9E">
        <w:rPr>
          <w:rFonts w:cs="Times New Roman"/>
        </w:rPr>
        <w:t xml:space="preserve"> de réception sont du lundi au vendredi inclus de 10 à 16 heures et jusqu’à expiration du délai. </w:t>
      </w:r>
    </w:p>
    <w:p w14:paraId="2B205F6D" w14:textId="77777777" w:rsidR="00AE0B96" w:rsidRPr="00696E9E" w:rsidRDefault="00AE0B96" w:rsidP="00B55FFA">
      <w:pPr>
        <w:spacing w:before="120" w:after="0" w:line="240" w:lineRule="auto"/>
        <w:jc w:val="both"/>
        <w:outlineLvl w:val="0"/>
        <w:rPr>
          <w:rFonts w:cs="Times New Roman"/>
        </w:rPr>
      </w:pPr>
      <w:r w:rsidRPr="00696E9E">
        <w:rPr>
          <w:rFonts w:cs="Times New Roman"/>
        </w:rPr>
        <w:t xml:space="preserve">Les dossiers </w:t>
      </w:r>
      <w:r w:rsidRPr="005E534A">
        <w:rPr>
          <w:rFonts w:cs="Times New Roman"/>
          <w:bCs/>
        </w:rPr>
        <w:t>qui</w:t>
      </w:r>
      <w:r w:rsidRPr="00696E9E">
        <w:rPr>
          <w:rFonts w:cs="Times New Roman"/>
        </w:rPr>
        <w:t xml:space="preserve"> parviendraient après la date et heure limites fixées ci-dessus ne seront pas pris en compte. </w:t>
      </w:r>
    </w:p>
    <w:p w14:paraId="13F99D29" w14:textId="77777777" w:rsidR="00AE0B96" w:rsidRPr="00696E9E" w:rsidRDefault="00AE0B96" w:rsidP="00B55FFA">
      <w:pPr>
        <w:spacing w:before="120" w:after="0" w:line="240" w:lineRule="auto"/>
        <w:jc w:val="both"/>
        <w:outlineLvl w:val="0"/>
        <w:rPr>
          <w:rFonts w:cs="Times New Roman"/>
        </w:rPr>
      </w:pPr>
      <w:r w:rsidRPr="00696E9E">
        <w:rPr>
          <w:rFonts w:cs="Times New Roman"/>
        </w:rPr>
        <w:t xml:space="preserve">Les </w:t>
      </w:r>
      <w:r w:rsidRPr="005E534A">
        <w:rPr>
          <w:rFonts w:cs="Times New Roman"/>
          <w:bCs/>
        </w:rPr>
        <w:t>candidats</w:t>
      </w:r>
      <w:r w:rsidRPr="00696E9E">
        <w:rPr>
          <w:rFonts w:cs="Times New Roman"/>
        </w:rPr>
        <w:t xml:space="preserve"> doivent assumer les risques inhérents au délai d’acheminement par un tiers porteur.</w:t>
      </w:r>
    </w:p>
    <w:p w14:paraId="6A0EE916" w14:textId="77777777" w:rsidR="007154E8" w:rsidRDefault="007154E8" w:rsidP="00B55FFA">
      <w:pPr>
        <w:pStyle w:val="ListParagraph"/>
        <w:tabs>
          <w:tab w:val="left" w:pos="284"/>
        </w:tabs>
        <w:spacing w:before="120" w:after="0" w:line="240" w:lineRule="auto"/>
        <w:ind w:left="0"/>
        <w:jc w:val="both"/>
      </w:pPr>
    </w:p>
    <w:p w14:paraId="5939529A" w14:textId="73FA0183" w:rsidR="00453648" w:rsidRPr="00696E9E" w:rsidRDefault="00453648" w:rsidP="00453648">
      <w:pPr>
        <w:spacing w:before="240" w:after="0" w:line="240" w:lineRule="auto"/>
        <w:jc w:val="both"/>
        <w:outlineLvl w:val="0"/>
        <w:rPr>
          <w:rFonts w:cs="Times New Roman"/>
        </w:rPr>
      </w:pPr>
    </w:p>
    <w:p w14:paraId="5346ABCA" w14:textId="77777777" w:rsidR="00453648" w:rsidRPr="00696E9E" w:rsidRDefault="00453648" w:rsidP="00B55FFA">
      <w:pPr>
        <w:pStyle w:val="ListParagraph"/>
        <w:tabs>
          <w:tab w:val="left" w:pos="284"/>
        </w:tabs>
        <w:spacing w:before="120" w:after="0" w:line="240" w:lineRule="auto"/>
        <w:ind w:left="0"/>
        <w:jc w:val="both"/>
      </w:pPr>
    </w:p>
    <w:sectPr w:rsidR="00453648" w:rsidRPr="00696E9E" w:rsidSect="00696E9E">
      <w:footerReference w:type="default" r:id="rId13"/>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DE4C4" w14:textId="77777777" w:rsidR="00535249" w:rsidRDefault="00535249" w:rsidP="00714F09">
      <w:pPr>
        <w:spacing w:after="0" w:line="240" w:lineRule="auto"/>
      </w:pPr>
      <w:r>
        <w:separator/>
      </w:r>
    </w:p>
  </w:endnote>
  <w:endnote w:type="continuationSeparator" w:id="0">
    <w:p w14:paraId="7725859E" w14:textId="77777777" w:rsidR="00535249" w:rsidRDefault="00535249" w:rsidP="0071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nyx">
    <w:panose1 w:val="04050602080702020203"/>
    <w:charset w:val="00"/>
    <w:family w:val="decorativ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72442"/>
      <w:docPartObj>
        <w:docPartGallery w:val="Page Numbers (Bottom of Page)"/>
        <w:docPartUnique/>
      </w:docPartObj>
    </w:sdtPr>
    <w:sdtEndPr/>
    <w:sdtContent>
      <w:p w14:paraId="4C23BBF6" w14:textId="77777777" w:rsidR="00714F09" w:rsidRDefault="00014FD8">
        <w:pPr>
          <w:pStyle w:val="Footer"/>
        </w:pPr>
        <w:r>
          <w:rPr>
            <w:noProof/>
          </w:rPr>
          <mc:AlternateContent>
            <mc:Choice Requires="wps">
              <w:drawing>
                <wp:anchor distT="0" distB="0" distL="114300" distR="114300" simplePos="0" relativeHeight="251657216" behindDoc="0" locked="0" layoutInCell="0" allowOverlap="1" wp14:anchorId="54F16FD8" wp14:editId="4D5C9C9E">
                  <wp:simplePos x="0" y="0"/>
                  <wp:positionH relativeFrom="rightMargin">
                    <wp:align>left</wp:align>
                  </wp:positionH>
                  <mc:AlternateContent>
                    <mc:Choice Requires="wp14">
                      <wp:positionV relativeFrom="bottomMargin">
                        <wp14:pctPosVOffset>7000</wp14:pctPosVOffset>
                      </wp:positionV>
                    </mc:Choice>
                    <mc:Fallback>
                      <wp:positionV relativeFrom="page">
                        <wp:posOffset>9938385</wp:posOffset>
                      </wp:positionV>
                    </mc:Fallback>
                  </mc:AlternateContent>
                  <wp:extent cx="368300" cy="274320"/>
                  <wp:effectExtent l="0" t="0" r="1270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14:paraId="09139F94" w14:textId="77777777" w:rsidR="00714F09" w:rsidRDefault="008014B7">
                              <w:pPr>
                                <w:jc w:val="center"/>
                              </w:pPr>
                              <w:r>
                                <w:fldChar w:fldCharType="begin"/>
                              </w:r>
                              <w:r w:rsidR="00AC536F">
                                <w:instrText xml:space="preserve"> PAGE    \* MERGEFORMAT </w:instrText>
                              </w:r>
                              <w:r>
                                <w:fldChar w:fldCharType="separate"/>
                              </w:r>
                              <w:r w:rsidR="00ED367D" w:rsidRPr="00ED367D">
                                <w:rPr>
                                  <w:noProof/>
                                  <w:sz w:val="16"/>
                                  <w:szCs w:val="16"/>
                                </w:rPr>
                                <w:t>2</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7" type="#_x0000_t65" style="position:absolute;margin-left:0;margin-top:0;width:29pt;height:21.6pt;z-index:251657216;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14:paraId="09139F94" w14:textId="77777777" w:rsidR="00714F09" w:rsidRDefault="008014B7">
                        <w:pPr>
                          <w:jc w:val="center"/>
                        </w:pPr>
                        <w:r>
                          <w:fldChar w:fldCharType="begin"/>
                        </w:r>
                        <w:r w:rsidR="00AC536F">
                          <w:instrText xml:space="preserve"> PAGE    \* MERGEFORMAT </w:instrText>
                        </w:r>
                        <w:r>
                          <w:fldChar w:fldCharType="separate"/>
                        </w:r>
                        <w:r w:rsidR="00ED367D" w:rsidRPr="00ED367D">
                          <w:rPr>
                            <w:noProof/>
                            <w:sz w:val="16"/>
                            <w:szCs w:val="16"/>
                          </w:rPr>
                          <w:t>2</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F3EBD" w14:textId="77777777" w:rsidR="00535249" w:rsidRDefault="00535249" w:rsidP="00714F09">
      <w:pPr>
        <w:spacing w:after="0" w:line="240" w:lineRule="auto"/>
      </w:pPr>
      <w:r>
        <w:separator/>
      </w:r>
    </w:p>
  </w:footnote>
  <w:footnote w:type="continuationSeparator" w:id="0">
    <w:p w14:paraId="750C4F11" w14:textId="77777777" w:rsidR="00535249" w:rsidRDefault="00535249" w:rsidP="00714F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66A"/>
    <w:multiLevelType w:val="hybridMultilevel"/>
    <w:tmpl w:val="981271C8"/>
    <w:lvl w:ilvl="0" w:tplc="830A9560">
      <w:start w:val="10"/>
      <w:numFmt w:val="decimal"/>
      <w:lvlText w:val="%1."/>
      <w:lvlJc w:val="left"/>
      <w:pPr>
        <w:ind w:left="644" w:hanging="360"/>
      </w:pPr>
      <w:rPr>
        <w:rFonts w:hint="default"/>
        <w:b/>
        <w:bCs/>
        <w:color w:val="1F497D"/>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05AF4447"/>
    <w:multiLevelType w:val="hybridMultilevel"/>
    <w:tmpl w:val="5828712A"/>
    <w:lvl w:ilvl="0" w:tplc="FC90D88E">
      <w:start w:val="3"/>
      <w:numFmt w:val="bullet"/>
      <w:lvlText w:val="-"/>
      <w:lvlJc w:val="left"/>
      <w:pPr>
        <w:ind w:left="360" w:hanging="360"/>
      </w:pPr>
      <w:rPr>
        <w:rFonts w:ascii="Calibri" w:eastAsiaTheme="minorHAnsi" w:hAnsi="Calibri" w:cs="Calibri,Bold"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73E7CF6"/>
    <w:multiLevelType w:val="hybridMultilevel"/>
    <w:tmpl w:val="85FA6A98"/>
    <w:lvl w:ilvl="0" w:tplc="5EEA9C12">
      <w:numFmt w:val="bullet"/>
      <w:lvlText w:val="-"/>
      <w:lvlJc w:val="left"/>
      <w:pPr>
        <w:ind w:left="720" w:hanging="360"/>
      </w:pPr>
      <w:rPr>
        <w:rFonts w:ascii="Arial" w:eastAsia="Times New Roman" w:hAnsi="Arial"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78477D"/>
    <w:multiLevelType w:val="hybridMultilevel"/>
    <w:tmpl w:val="7C763428"/>
    <w:lvl w:ilvl="0" w:tplc="5EEA9C12">
      <w:numFmt w:val="bullet"/>
      <w:lvlText w:val="-"/>
      <w:lvlJc w:val="left"/>
      <w:pPr>
        <w:tabs>
          <w:tab w:val="num" w:pos="1449"/>
        </w:tabs>
        <w:ind w:left="1449" w:hanging="360"/>
      </w:pPr>
      <w:rPr>
        <w:rFonts w:ascii="Arial" w:eastAsia="Times New Roman" w:hAnsi="Arial" w:cs="Courier New" w:hint="default"/>
      </w:rPr>
    </w:lvl>
    <w:lvl w:ilvl="1" w:tplc="040C0003">
      <w:start w:val="1"/>
      <w:numFmt w:val="bullet"/>
      <w:lvlText w:val="o"/>
      <w:lvlJc w:val="left"/>
      <w:pPr>
        <w:tabs>
          <w:tab w:val="num" w:pos="2083"/>
        </w:tabs>
        <w:ind w:left="2083" w:hanging="360"/>
      </w:pPr>
      <w:rPr>
        <w:rFonts w:ascii="Courier New" w:hAnsi="Courier New" w:cs="Symbol" w:hint="default"/>
      </w:rPr>
    </w:lvl>
    <w:lvl w:ilvl="2" w:tplc="040C0005" w:tentative="1">
      <w:start w:val="1"/>
      <w:numFmt w:val="bullet"/>
      <w:lvlText w:val=""/>
      <w:lvlJc w:val="left"/>
      <w:pPr>
        <w:tabs>
          <w:tab w:val="num" w:pos="3174"/>
        </w:tabs>
        <w:ind w:left="3174" w:hanging="360"/>
      </w:pPr>
      <w:rPr>
        <w:rFonts w:ascii="Wingdings" w:hAnsi="Wingdings" w:hint="default"/>
      </w:rPr>
    </w:lvl>
    <w:lvl w:ilvl="3" w:tplc="040C0001" w:tentative="1">
      <w:start w:val="1"/>
      <w:numFmt w:val="bullet"/>
      <w:lvlText w:val=""/>
      <w:lvlJc w:val="left"/>
      <w:pPr>
        <w:tabs>
          <w:tab w:val="num" w:pos="3894"/>
        </w:tabs>
        <w:ind w:left="3894" w:hanging="360"/>
      </w:pPr>
      <w:rPr>
        <w:rFonts w:ascii="Symbol" w:hAnsi="Symbol" w:hint="default"/>
      </w:rPr>
    </w:lvl>
    <w:lvl w:ilvl="4" w:tplc="040C0003" w:tentative="1">
      <w:start w:val="1"/>
      <w:numFmt w:val="bullet"/>
      <w:lvlText w:val="o"/>
      <w:lvlJc w:val="left"/>
      <w:pPr>
        <w:tabs>
          <w:tab w:val="num" w:pos="4614"/>
        </w:tabs>
        <w:ind w:left="4614" w:hanging="360"/>
      </w:pPr>
      <w:rPr>
        <w:rFonts w:ascii="Courier New" w:hAnsi="Courier New" w:cs="Symbol" w:hint="default"/>
      </w:rPr>
    </w:lvl>
    <w:lvl w:ilvl="5" w:tplc="040C0005" w:tentative="1">
      <w:start w:val="1"/>
      <w:numFmt w:val="bullet"/>
      <w:lvlText w:val=""/>
      <w:lvlJc w:val="left"/>
      <w:pPr>
        <w:tabs>
          <w:tab w:val="num" w:pos="5334"/>
        </w:tabs>
        <w:ind w:left="5334" w:hanging="360"/>
      </w:pPr>
      <w:rPr>
        <w:rFonts w:ascii="Wingdings" w:hAnsi="Wingdings" w:hint="default"/>
      </w:rPr>
    </w:lvl>
    <w:lvl w:ilvl="6" w:tplc="040C0001" w:tentative="1">
      <w:start w:val="1"/>
      <w:numFmt w:val="bullet"/>
      <w:lvlText w:val=""/>
      <w:lvlJc w:val="left"/>
      <w:pPr>
        <w:tabs>
          <w:tab w:val="num" w:pos="6054"/>
        </w:tabs>
        <w:ind w:left="6054" w:hanging="360"/>
      </w:pPr>
      <w:rPr>
        <w:rFonts w:ascii="Symbol" w:hAnsi="Symbol" w:hint="default"/>
      </w:rPr>
    </w:lvl>
    <w:lvl w:ilvl="7" w:tplc="040C0003" w:tentative="1">
      <w:start w:val="1"/>
      <w:numFmt w:val="bullet"/>
      <w:lvlText w:val="o"/>
      <w:lvlJc w:val="left"/>
      <w:pPr>
        <w:tabs>
          <w:tab w:val="num" w:pos="6774"/>
        </w:tabs>
        <w:ind w:left="6774" w:hanging="360"/>
      </w:pPr>
      <w:rPr>
        <w:rFonts w:ascii="Courier New" w:hAnsi="Courier New" w:cs="Symbol" w:hint="default"/>
      </w:rPr>
    </w:lvl>
    <w:lvl w:ilvl="8" w:tplc="040C0005" w:tentative="1">
      <w:start w:val="1"/>
      <w:numFmt w:val="bullet"/>
      <w:lvlText w:val=""/>
      <w:lvlJc w:val="left"/>
      <w:pPr>
        <w:tabs>
          <w:tab w:val="num" w:pos="7494"/>
        </w:tabs>
        <w:ind w:left="7494" w:hanging="360"/>
      </w:pPr>
      <w:rPr>
        <w:rFonts w:ascii="Wingdings" w:hAnsi="Wingdings" w:hint="default"/>
      </w:rPr>
    </w:lvl>
  </w:abstractNum>
  <w:abstractNum w:abstractNumId="4">
    <w:nsid w:val="08474330"/>
    <w:multiLevelType w:val="hybridMultilevel"/>
    <w:tmpl w:val="6F56B9A8"/>
    <w:lvl w:ilvl="0" w:tplc="155231EC">
      <w:start w:val="1"/>
      <w:numFmt w:val="bullet"/>
      <w:lvlText w:val="•"/>
      <w:lvlJc w:val="left"/>
      <w:pPr>
        <w:tabs>
          <w:tab w:val="num" w:pos="720"/>
        </w:tabs>
        <w:ind w:left="720" w:hanging="360"/>
      </w:pPr>
      <w:rPr>
        <w:rFonts w:ascii="Arial" w:hAnsi="Arial" w:hint="default"/>
      </w:rPr>
    </w:lvl>
    <w:lvl w:ilvl="1" w:tplc="A4666390" w:tentative="1">
      <w:start w:val="1"/>
      <w:numFmt w:val="bullet"/>
      <w:lvlText w:val="•"/>
      <w:lvlJc w:val="left"/>
      <w:pPr>
        <w:tabs>
          <w:tab w:val="num" w:pos="1440"/>
        </w:tabs>
        <w:ind w:left="1440" w:hanging="360"/>
      </w:pPr>
      <w:rPr>
        <w:rFonts w:ascii="Arial" w:hAnsi="Arial" w:hint="default"/>
      </w:rPr>
    </w:lvl>
    <w:lvl w:ilvl="2" w:tplc="195EB2FC" w:tentative="1">
      <w:start w:val="1"/>
      <w:numFmt w:val="bullet"/>
      <w:lvlText w:val="•"/>
      <w:lvlJc w:val="left"/>
      <w:pPr>
        <w:tabs>
          <w:tab w:val="num" w:pos="2160"/>
        </w:tabs>
        <w:ind w:left="2160" w:hanging="360"/>
      </w:pPr>
      <w:rPr>
        <w:rFonts w:ascii="Arial" w:hAnsi="Arial" w:hint="default"/>
      </w:rPr>
    </w:lvl>
    <w:lvl w:ilvl="3" w:tplc="F1CE1DF6" w:tentative="1">
      <w:start w:val="1"/>
      <w:numFmt w:val="bullet"/>
      <w:lvlText w:val="•"/>
      <w:lvlJc w:val="left"/>
      <w:pPr>
        <w:tabs>
          <w:tab w:val="num" w:pos="2880"/>
        </w:tabs>
        <w:ind w:left="2880" w:hanging="360"/>
      </w:pPr>
      <w:rPr>
        <w:rFonts w:ascii="Arial" w:hAnsi="Arial" w:hint="default"/>
      </w:rPr>
    </w:lvl>
    <w:lvl w:ilvl="4" w:tplc="AD04F0A8" w:tentative="1">
      <w:start w:val="1"/>
      <w:numFmt w:val="bullet"/>
      <w:lvlText w:val="•"/>
      <w:lvlJc w:val="left"/>
      <w:pPr>
        <w:tabs>
          <w:tab w:val="num" w:pos="3600"/>
        </w:tabs>
        <w:ind w:left="3600" w:hanging="360"/>
      </w:pPr>
      <w:rPr>
        <w:rFonts w:ascii="Arial" w:hAnsi="Arial" w:hint="default"/>
      </w:rPr>
    </w:lvl>
    <w:lvl w:ilvl="5" w:tplc="F95E45C0" w:tentative="1">
      <w:start w:val="1"/>
      <w:numFmt w:val="bullet"/>
      <w:lvlText w:val="•"/>
      <w:lvlJc w:val="left"/>
      <w:pPr>
        <w:tabs>
          <w:tab w:val="num" w:pos="4320"/>
        </w:tabs>
        <w:ind w:left="4320" w:hanging="360"/>
      </w:pPr>
      <w:rPr>
        <w:rFonts w:ascii="Arial" w:hAnsi="Arial" w:hint="default"/>
      </w:rPr>
    </w:lvl>
    <w:lvl w:ilvl="6" w:tplc="5A284608" w:tentative="1">
      <w:start w:val="1"/>
      <w:numFmt w:val="bullet"/>
      <w:lvlText w:val="•"/>
      <w:lvlJc w:val="left"/>
      <w:pPr>
        <w:tabs>
          <w:tab w:val="num" w:pos="5040"/>
        </w:tabs>
        <w:ind w:left="5040" w:hanging="360"/>
      </w:pPr>
      <w:rPr>
        <w:rFonts w:ascii="Arial" w:hAnsi="Arial" w:hint="default"/>
      </w:rPr>
    </w:lvl>
    <w:lvl w:ilvl="7" w:tplc="FCD6212C" w:tentative="1">
      <w:start w:val="1"/>
      <w:numFmt w:val="bullet"/>
      <w:lvlText w:val="•"/>
      <w:lvlJc w:val="left"/>
      <w:pPr>
        <w:tabs>
          <w:tab w:val="num" w:pos="5760"/>
        </w:tabs>
        <w:ind w:left="5760" w:hanging="360"/>
      </w:pPr>
      <w:rPr>
        <w:rFonts w:ascii="Arial" w:hAnsi="Arial" w:hint="default"/>
      </w:rPr>
    </w:lvl>
    <w:lvl w:ilvl="8" w:tplc="1FC66C80" w:tentative="1">
      <w:start w:val="1"/>
      <w:numFmt w:val="bullet"/>
      <w:lvlText w:val="•"/>
      <w:lvlJc w:val="left"/>
      <w:pPr>
        <w:tabs>
          <w:tab w:val="num" w:pos="6480"/>
        </w:tabs>
        <w:ind w:left="6480" w:hanging="360"/>
      </w:pPr>
      <w:rPr>
        <w:rFonts w:ascii="Arial" w:hAnsi="Arial" w:hint="default"/>
      </w:rPr>
    </w:lvl>
  </w:abstractNum>
  <w:abstractNum w:abstractNumId="5">
    <w:nsid w:val="09995759"/>
    <w:multiLevelType w:val="hybridMultilevel"/>
    <w:tmpl w:val="2B2C850A"/>
    <w:lvl w:ilvl="0" w:tplc="4744926C">
      <w:start w:val="1"/>
      <w:numFmt w:val="decimal"/>
      <w:lvlText w:val="%1)"/>
      <w:lvlJc w:val="lef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BF851C2"/>
    <w:multiLevelType w:val="hybridMultilevel"/>
    <w:tmpl w:val="87A8A0D6"/>
    <w:lvl w:ilvl="0" w:tplc="BFF6F6A6">
      <w:start w:val="1"/>
      <w:numFmt w:val="bullet"/>
      <w:lvlText w:val="•"/>
      <w:lvlJc w:val="left"/>
      <w:pPr>
        <w:tabs>
          <w:tab w:val="num" w:pos="720"/>
        </w:tabs>
        <w:ind w:left="720" w:hanging="360"/>
      </w:pPr>
      <w:rPr>
        <w:rFonts w:ascii="Arial" w:hAnsi="Arial" w:hint="default"/>
      </w:rPr>
    </w:lvl>
    <w:lvl w:ilvl="1" w:tplc="EF644DA0" w:tentative="1">
      <w:start w:val="1"/>
      <w:numFmt w:val="bullet"/>
      <w:lvlText w:val="•"/>
      <w:lvlJc w:val="left"/>
      <w:pPr>
        <w:tabs>
          <w:tab w:val="num" w:pos="1440"/>
        </w:tabs>
        <w:ind w:left="1440" w:hanging="360"/>
      </w:pPr>
      <w:rPr>
        <w:rFonts w:ascii="Arial" w:hAnsi="Arial" w:hint="default"/>
      </w:rPr>
    </w:lvl>
    <w:lvl w:ilvl="2" w:tplc="4F48F342" w:tentative="1">
      <w:start w:val="1"/>
      <w:numFmt w:val="bullet"/>
      <w:lvlText w:val="•"/>
      <w:lvlJc w:val="left"/>
      <w:pPr>
        <w:tabs>
          <w:tab w:val="num" w:pos="2160"/>
        </w:tabs>
        <w:ind w:left="2160" w:hanging="360"/>
      </w:pPr>
      <w:rPr>
        <w:rFonts w:ascii="Arial" w:hAnsi="Arial" w:hint="default"/>
      </w:rPr>
    </w:lvl>
    <w:lvl w:ilvl="3" w:tplc="C8A275DC" w:tentative="1">
      <w:start w:val="1"/>
      <w:numFmt w:val="bullet"/>
      <w:lvlText w:val="•"/>
      <w:lvlJc w:val="left"/>
      <w:pPr>
        <w:tabs>
          <w:tab w:val="num" w:pos="2880"/>
        </w:tabs>
        <w:ind w:left="2880" w:hanging="360"/>
      </w:pPr>
      <w:rPr>
        <w:rFonts w:ascii="Arial" w:hAnsi="Arial" w:hint="default"/>
      </w:rPr>
    </w:lvl>
    <w:lvl w:ilvl="4" w:tplc="F9D4D1BC" w:tentative="1">
      <w:start w:val="1"/>
      <w:numFmt w:val="bullet"/>
      <w:lvlText w:val="•"/>
      <w:lvlJc w:val="left"/>
      <w:pPr>
        <w:tabs>
          <w:tab w:val="num" w:pos="3600"/>
        </w:tabs>
        <w:ind w:left="3600" w:hanging="360"/>
      </w:pPr>
      <w:rPr>
        <w:rFonts w:ascii="Arial" w:hAnsi="Arial" w:hint="default"/>
      </w:rPr>
    </w:lvl>
    <w:lvl w:ilvl="5" w:tplc="B9C68318" w:tentative="1">
      <w:start w:val="1"/>
      <w:numFmt w:val="bullet"/>
      <w:lvlText w:val="•"/>
      <w:lvlJc w:val="left"/>
      <w:pPr>
        <w:tabs>
          <w:tab w:val="num" w:pos="4320"/>
        </w:tabs>
        <w:ind w:left="4320" w:hanging="360"/>
      </w:pPr>
      <w:rPr>
        <w:rFonts w:ascii="Arial" w:hAnsi="Arial" w:hint="default"/>
      </w:rPr>
    </w:lvl>
    <w:lvl w:ilvl="6" w:tplc="B4CEEB88" w:tentative="1">
      <w:start w:val="1"/>
      <w:numFmt w:val="bullet"/>
      <w:lvlText w:val="•"/>
      <w:lvlJc w:val="left"/>
      <w:pPr>
        <w:tabs>
          <w:tab w:val="num" w:pos="5040"/>
        </w:tabs>
        <w:ind w:left="5040" w:hanging="360"/>
      </w:pPr>
      <w:rPr>
        <w:rFonts w:ascii="Arial" w:hAnsi="Arial" w:hint="default"/>
      </w:rPr>
    </w:lvl>
    <w:lvl w:ilvl="7" w:tplc="411AD808" w:tentative="1">
      <w:start w:val="1"/>
      <w:numFmt w:val="bullet"/>
      <w:lvlText w:val="•"/>
      <w:lvlJc w:val="left"/>
      <w:pPr>
        <w:tabs>
          <w:tab w:val="num" w:pos="5760"/>
        </w:tabs>
        <w:ind w:left="5760" w:hanging="360"/>
      </w:pPr>
      <w:rPr>
        <w:rFonts w:ascii="Arial" w:hAnsi="Arial" w:hint="default"/>
      </w:rPr>
    </w:lvl>
    <w:lvl w:ilvl="8" w:tplc="5BDEDD34" w:tentative="1">
      <w:start w:val="1"/>
      <w:numFmt w:val="bullet"/>
      <w:lvlText w:val="•"/>
      <w:lvlJc w:val="left"/>
      <w:pPr>
        <w:tabs>
          <w:tab w:val="num" w:pos="6480"/>
        </w:tabs>
        <w:ind w:left="6480" w:hanging="360"/>
      </w:pPr>
      <w:rPr>
        <w:rFonts w:ascii="Arial" w:hAnsi="Arial" w:hint="default"/>
      </w:rPr>
    </w:lvl>
  </w:abstractNum>
  <w:abstractNum w:abstractNumId="7">
    <w:nsid w:val="0FCC3943"/>
    <w:multiLevelType w:val="hybridMultilevel"/>
    <w:tmpl w:val="E3C0BA9A"/>
    <w:lvl w:ilvl="0" w:tplc="FC90D88E">
      <w:start w:val="3"/>
      <w:numFmt w:val="bullet"/>
      <w:lvlText w:val="-"/>
      <w:lvlJc w:val="left"/>
      <w:pPr>
        <w:ind w:left="720" w:hanging="360"/>
      </w:pPr>
      <w:rPr>
        <w:rFonts w:ascii="Calibri" w:eastAsiaTheme="minorHAnsi" w:hAnsi="Calibri" w:cs="Calibri,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3FF5EC9"/>
    <w:multiLevelType w:val="hybridMultilevel"/>
    <w:tmpl w:val="3D3EF02C"/>
    <w:lvl w:ilvl="0" w:tplc="83049740">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62966A8"/>
    <w:multiLevelType w:val="hybridMultilevel"/>
    <w:tmpl w:val="250489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94C2EB7"/>
    <w:multiLevelType w:val="hybridMultilevel"/>
    <w:tmpl w:val="BE2639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4D4CF9"/>
    <w:multiLevelType w:val="hybridMultilevel"/>
    <w:tmpl w:val="7F72C5FA"/>
    <w:lvl w:ilvl="0" w:tplc="5EEA9C12">
      <w:numFmt w:val="bullet"/>
      <w:lvlText w:val="-"/>
      <w:lvlJc w:val="left"/>
      <w:pPr>
        <w:ind w:left="786" w:hanging="360"/>
      </w:pPr>
      <w:rPr>
        <w:rFonts w:ascii="Arial" w:eastAsia="Times New Roman" w:hAnsi="Arial" w:cs="Courier New"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2">
    <w:nsid w:val="24E52862"/>
    <w:multiLevelType w:val="hybridMultilevel"/>
    <w:tmpl w:val="09E62412"/>
    <w:lvl w:ilvl="0" w:tplc="10A03B10">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53528FD"/>
    <w:multiLevelType w:val="hybridMultilevel"/>
    <w:tmpl w:val="7658ABDE"/>
    <w:lvl w:ilvl="0" w:tplc="FC90D88E">
      <w:start w:val="3"/>
      <w:numFmt w:val="bullet"/>
      <w:lvlText w:val="-"/>
      <w:lvlJc w:val="left"/>
      <w:pPr>
        <w:ind w:left="786" w:hanging="360"/>
      </w:pPr>
      <w:rPr>
        <w:rFonts w:ascii="Calibri" w:eastAsiaTheme="minorHAnsi" w:hAnsi="Calibri" w:cs="Calibri,Bold"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4">
    <w:nsid w:val="26665B8E"/>
    <w:multiLevelType w:val="hybridMultilevel"/>
    <w:tmpl w:val="18AA707E"/>
    <w:lvl w:ilvl="0" w:tplc="10A03B10">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nsid w:val="27E24351"/>
    <w:multiLevelType w:val="hybridMultilevel"/>
    <w:tmpl w:val="58227E84"/>
    <w:lvl w:ilvl="0" w:tplc="77C40C6A">
      <w:numFmt w:val="bullet"/>
      <w:lvlText w:val="-"/>
      <w:lvlJc w:val="left"/>
      <w:pPr>
        <w:ind w:left="720" w:hanging="360"/>
      </w:pPr>
      <w:rPr>
        <w:rFonts w:ascii="Arial" w:eastAsia="Times New Roman" w:hAnsi="Arial" w:cs="Onyx"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BEB0FF8"/>
    <w:multiLevelType w:val="hybridMultilevel"/>
    <w:tmpl w:val="BA0E4FF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62610D7"/>
    <w:multiLevelType w:val="hybridMultilevel"/>
    <w:tmpl w:val="6E589FDE"/>
    <w:lvl w:ilvl="0" w:tplc="5EEA9C12">
      <w:numFmt w:val="bullet"/>
      <w:lvlText w:val="-"/>
      <w:lvlJc w:val="left"/>
      <w:pPr>
        <w:ind w:left="720" w:hanging="360"/>
      </w:pPr>
      <w:rPr>
        <w:rFonts w:ascii="Arial" w:eastAsia="Times New Roman" w:hAnsi="Arial"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860FBF"/>
    <w:multiLevelType w:val="hybridMultilevel"/>
    <w:tmpl w:val="8F809290"/>
    <w:lvl w:ilvl="0" w:tplc="FC90D88E">
      <w:start w:val="3"/>
      <w:numFmt w:val="bullet"/>
      <w:lvlText w:val="-"/>
      <w:lvlJc w:val="left"/>
      <w:pPr>
        <w:ind w:left="1068" w:hanging="360"/>
      </w:pPr>
      <w:rPr>
        <w:rFonts w:ascii="Calibri" w:eastAsiaTheme="minorHAnsi" w:hAnsi="Calibri" w:cs="Calibri,Bold"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nsid w:val="3C06782C"/>
    <w:multiLevelType w:val="hybridMultilevel"/>
    <w:tmpl w:val="EFA40E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ED941B5"/>
    <w:multiLevelType w:val="hybridMultilevel"/>
    <w:tmpl w:val="06B47B54"/>
    <w:lvl w:ilvl="0" w:tplc="77C40C6A">
      <w:numFmt w:val="bullet"/>
      <w:lvlText w:val="-"/>
      <w:lvlJc w:val="left"/>
      <w:pPr>
        <w:ind w:left="360" w:hanging="360"/>
      </w:pPr>
      <w:rPr>
        <w:rFonts w:ascii="Arial" w:eastAsia="Times New Roman" w:hAnsi="Arial" w:cs="Onyx"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428B7DC1"/>
    <w:multiLevelType w:val="hybridMultilevel"/>
    <w:tmpl w:val="AD169898"/>
    <w:lvl w:ilvl="0" w:tplc="040C0001">
      <w:start w:val="1"/>
      <w:numFmt w:val="bullet"/>
      <w:lvlText w:val=""/>
      <w:lvlJc w:val="left"/>
      <w:pPr>
        <w:ind w:left="720" w:hanging="360"/>
      </w:pPr>
      <w:rPr>
        <w:rFonts w:ascii="Symbol" w:hAnsi="Symbol" w:hint="default"/>
      </w:rPr>
    </w:lvl>
    <w:lvl w:ilvl="1" w:tplc="79D2061A">
      <w:numFmt w:val="bullet"/>
      <w:lvlText w:val="-"/>
      <w:lvlJc w:val="left"/>
      <w:pPr>
        <w:ind w:left="1440" w:hanging="360"/>
      </w:pPr>
      <w:rPr>
        <w:rFonts w:ascii="Times New Roman" w:eastAsiaTheme="minorEastAsia"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35C6ECE"/>
    <w:multiLevelType w:val="hybridMultilevel"/>
    <w:tmpl w:val="48D6886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45E0D3C"/>
    <w:multiLevelType w:val="hybridMultilevel"/>
    <w:tmpl w:val="CAA495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6213633"/>
    <w:multiLevelType w:val="hybridMultilevel"/>
    <w:tmpl w:val="E2DCA97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4A7E0484"/>
    <w:multiLevelType w:val="hybridMultilevel"/>
    <w:tmpl w:val="C89EDB8E"/>
    <w:lvl w:ilvl="0" w:tplc="5EEA9C12">
      <w:numFmt w:val="bullet"/>
      <w:lvlText w:val="-"/>
      <w:lvlJc w:val="left"/>
      <w:pPr>
        <w:ind w:left="720" w:hanging="360"/>
      </w:pPr>
      <w:rPr>
        <w:rFonts w:ascii="Arial" w:eastAsia="Times New Roman" w:hAnsi="Arial"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EA303AD"/>
    <w:multiLevelType w:val="hybridMultilevel"/>
    <w:tmpl w:val="A0A46586"/>
    <w:lvl w:ilvl="0" w:tplc="42D4317A">
      <w:start w:val="1"/>
      <w:numFmt w:val="decimal"/>
      <w:pStyle w:val="Heading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0330AB5"/>
    <w:multiLevelType w:val="hybridMultilevel"/>
    <w:tmpl w:val="E2EC2DBE"/>
    <w:lvl w:ilvl="0" w:tplc="5EEA9C12">
      <w:numFmt w:val="bullet"/>
      <w:lvlText w:val="-"/>
      <w:lvlJc w:val="left"/>
      <w:pPr>
        <w:ind w:left="720" w:hanging="360"/>
      </w:pPr>
      <w:rPr>
        <w:rFonts w:ascii="Arial" w:eastAsia="Times New Roman" w:hAnsi="Arial"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ED56961"/>
    <w:multiLevelType w:val="hybridMultilevel"/>
    <w:tmpl w:val="D3BA1824"/>
    <w:lvl w:ilvl="0" w:tplc="5EEA9C12">
      <w:numFmt w:val="bullet"/>
      <w:lvlText w:val="-"/>
      <w:lvlJc w:val="left"/>
      <w:pPr>
        <w:ind w:left="720" w:hanging="360"/>
      </w:pPr>
      <w:rPr>
        <w:rFonts w:ascii="Arial" w:eastAsia="Times New Roman" w:hAnsi="Arial"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FC26243"/>
    <w:multiLevelType w:val="hybridMultilevel"/>
    <w:tmpl w:val="1396BD48"/>
    <w:lvl w:ilvl="0" w:tplc="54EE9A6E">
      <w:start w:val="1"/>
      <w:numFmt w:val="decimal"/>
      <w:lvlText w:val="%1-"/>
      <w:lvlJc w:val="left"/>
      <w:pPr>
        <w:ind w:left="720" w:hanging="360"/>
      </w:pPr>
      <w:rPr>
        <w:rFonts w:ascii="Times New Roman" w:hAnsi="Times New Roman" w:cs="Times New Roman"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39F1CA1"/>
    <w:multiLevelType w:val="hybridMultilevel"/>
    <w:tmpl w:val="1064091E"/>
    <w:lvl w:ilvl="0" w:tplc="040C000F">
      <w:start w:val="1"/>
      <w:numFmt w:val="decimal"/>
      <w:lvlText w:val="%1."/>
      <w:lvlJc w:val="left"/>
      <w:pPr>
        <w:ind w:left="1800" w:hanging="360"/>
      </w:pPr>
      <w:rPr>
        <w:rFont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1">
    <w:nsid w:val="63A047D6"/>
    <w:multiLevelType w:val="hybridMultilevel"/>
    <w:tmpl w:val="C11E545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83165FF2">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6AC3316"/>
    <w:multiLevelType w:val="hybridMultilevel"/>
    <w:tmpl w:val="34DAEA0A"/>
    <w:lvl w:ilvl="0" w:tplc="5EEA9C12">
      <w:numFmt w:val="bullet"/>
      <w:lvlText w:val="-"/>
      <w:lvlJc w:val="left"/>
      <w:pPr>
        <w:ind w:left="1004" w:hanging="360"/>
      </w:pPr>
      <w:rPr>
        <w:rFonts w:ascii="Arial" w:eastAsia="Times New Roman" w:hAnsi="Arial" w:cs="Courier New" w:hint="default"/>
      </w:rPr>
    </w:lvl>
    <w:lvl w:ilvl="1" w:tplc="040C0003" w:tentative="1">
      <w:start w:val="1"/>
      <w:numFmt w:val="bullet"/>
      <w:lvlText w:val="o"/>
      <w:lvlJc w:val="left"/>
      <w:pPr>
        <w:ind w:left="1724" w:hanging="360"/>
      </w:pPr>
      <w:rPr>
        <w:rFonts w:ascii="Courier New" w:hAnsi="Courier New" w:cs="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Symbol"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Symbol" w:hint="default"/>
      </w:rPr>
    </w:lvl>
    <w:lvl w:ilvl="8" w:tplc="040C0005" w:tentative="1">
      <w:start w:val="1"/>
      <w:numFmt w:val="bullet"/>
      <w:lvlText w:val=""/>
      <w:lvlJc w:val="left"/>
      <w:pPr>
        <w:ind w:left="6764" w:hanging="360"/>
      </w:pPr>
      <w:rPr>
        <w:rFonts w:ascii="Wingdings" w:hAnsi="Wingdings" w:hint="default"/>
      </w:rPr>
    </w:lvl>
  </w:abstractNum>
  <w:abstractNum w:abstractNumId="33">
    <w:nsid w:val="6E7C6406"/>
    <w:multiLevelType w:val="hybridMultilevel"/>
    <w:tmpl w:val="96EC86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2421547"/>
    <w:multiLevelType w:val="hybridMultilevel"/>
    <w:tmpl w:val="D7428266"/>
    <w:lvl w:ilvl="0" w:tplc="93F21408">
      <w:start w:val="1"/>
      <w:numFmt w:val="bullet"/>
      <w:lvlText w:val="-"/>
      <w:lvlJc w:val="left"/>
      <w:pPr>
        <w:ind w:left="1068" w:hanging="360"/>
      </w:pPr>
      <w:rPr>
        <w:rFonts w:ascii="Sakkal Majalla" w:hAnsi="Sakkal Majalla" w:hint="default"/>
      </w:rPr>
    </w:lvl>
    <w:lvl w:ilvl="1" w:tplc="79D2061A">
      <w:numFmt w:val="bullet"/>
      <w:lvlText w:val="-"/>
      <w:lvlJc w:val="left"/>
      <w:pPr>
        <w:ind w:left="1788" w:hanging="360"/>
      </w:pPr>
      <w:rPr>
        <w:rFonts w:ascii="Times New Roman" w:eastAsiaTheme="minorEastAsia" w:hAnsi="Times New Roman" w:cs="Times New Roman"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nsid w:val="77F132D4"/>
    <w:multiLevelType w:val="hybridMultilevel"/>
    <w:tmpl w:val="8C7A9830"/>
    <w:lvl w:ilvl="0" w:tplc="1862DED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BFD75BB"/>
    <w:multiLevelType w:val="hybridMultilevel"/>
    <w:tmpl w:val="A94EBE04"/>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D18467B"/>
    <w:multiLevelType w:val="hybridMultilevel"/>
    <w:tmpl w:val="292E3162"/>
    <w:lvl w:ilvl="0" w:tplc="40C8B5DC">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4"/>
  </w:num>
  <w:num w:numId="2">
    <w:abstractNumId w:val="6"/>
  </w:num>
  <w:num w:numId="3">
    <w:abstractNumId w:val="23"/>
  </w:num>
  <w:num w:numId="4">
    <w:abstractNumId w:val="19"/>
  </w:num>
  <w:num w:numId="5">
    <w:abstractNumId w:val="5"/>
  </w:num>
  <w:num w:numId="6">
    <w:abstractNumId w:val="1"/>
  </w:num>
  <w:num w:numId="7">
    <w:abstractNumId w:val="3"/>
  </w:num>
  <w:num w:numId="8">
    <w:abstractNumId w:val="32"/>
  </w:num>
  <w:num w:numId="9">
    <w:abstractNumId w:val="36"/>
  </w:num>
  <w:num w:numId="10">
    <w:abstractNumId w:val="0"/>
  </w:num>
  <w:num w:numId="11">
    <w:abstractNumId w:val="16"/>
  </w:num>
  <w:num w:numId="12">
    <w:abstractNumId w:val="37"/>
  </w:num>
  <w:num w:numId="13">
    <w:abstractNumId w:val="35"/>
  </w:num>
  <w:num w:numId="14">
    <w:abstractNumId w:val="33"/>
  </w:num>
  <w:num w:numId="15">
    <w:abstractNumId w:val="20"/>
  </w:num>
  <w:num w:numId="16">
    <w:abstractNumId w:val="15"/>
  </w:num>
  <w:num w:numId="17">
    <w:abstractNumId w:val="10"/>
  </w:num>
  <w:num w:numId="18">
    <w:abstractNumId w:val="29"/>
  </w:num>
  <w:num w:numId="19">
    <w:abstractNumId w:val="13"/>
  </w:num>
  <w:num w:numId="20">
    <w:abstractNumId w:val="28"/>
  </w:num>
  <w:num w:numId="21">
    <w:abstractNumId w:val="2"/>
  </w:num>
  <w:num w:numId="22">
    <w:abstractNumId w:val="27"/>
  </w:num>
  <w:num w:numId="23">
    <w:abstractNumId w:val="25"/>
  </w:num>
  <w:num w:numId="24">
    <w:abstractNumId w:val="17"/>
  </w:num>
  <w:num w:numId="25">
    <w:abstractNumId w:val="11"/>
  </w:num>
  <w:num w:numId="26">
    <w:abstractNumId w:val="8"/>
  </w:num>
  <w:num w:numId="27">
    <w:abstractNumId w:val="31"/>
  </w:num>
  <w:num w:numId="28">
    <w:abstractNumId w:val="9"/>
  </w:num>
  <w:num w:numId="29">
    <w:abstractNumId w:val="30"/>
  </w:num>
  <w:num w:numId="30">
    <w:abstractNumId w:val="18"/>
  </w:num>
  <w:num w:numId="31">
    <w:abstractNumId w:val="21"/>
  </w:num>
  <w:num w:numId="32">
    <w:abstractNumId w:val="24"/>
  </w:num>
  <w:num w:numId="33">
    <w:abstractNumId w:val="22"/>
  </w:num>
  <w:num w:numId="34">
    <w:abstractNumId w:val="12"/>
  </w:num>
  <w:num w:numId="35">
    <w:abstractNumId w:val="14"/>
  </w:num>
  <w:num w:numId="36">
    <w:abstractNumId w:val="34"/>
  </w:num>
  <w:num w:numId="37">
    <w:abstractNumId w:val="7"/>
  </w:num>
  <w:num w:numId="38">
    <w:abstractNumId w:val="26"/>
  </w:num>
  <w:num w:numId="39">
    <w:abstractNumId w:val="26"/>
  </w:num>
  <w:num w:numId="40">
    <w:abstractNumId w:val="26"/>
  </w:num>
  <w:num w:numId="41">
    <w:abstractNumId w:val="26"/>
  </w:num>
  <w:num w:numId="42">
    <w:abstractNumId w:val="26"/>
  </w:num>
  <w:num w:numId="43">
    <w:abstractNumId w:val="26"/>
  </w:num>
  <w:num w:numId="44">
    <w:abstractNumId w:val="26"/>
  </w:num>
  <w:num w:numId="45">
    <w:abstractNumId w:val="26"/>
  </w:num>
  <w:num w:numId="46">
    <w:abstractNumId w:val="26"/>
  </w:num>
  <w:num w:numId="47">
    <w:abstractNumId w:val="26"/>
  </w:num>
  <w:num w:numId="48">
    <w:abstractNumId w:val="26"/>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2D5"/>
    <w:rsid w:val="00001BB8"/>
    <w:rsid w:val="00001F90"/>
    <w:rsid w:val="00014FD8"/>
    <w:rsid w:val="0003062F"/>
    <w:rsid w:val="00040524"/>
    <w:rsid w:val="000563BB"/>
    <w:rsid w:val="00062D9B"/>
    <w:rsid w:val="000652A0"/>
    <w:rsid w:val="0007021B"/>
    <w:rsid w:val="00071EAE"/>
    <w:rsid w:val="000735B3"/>
    <w:rsid w:val="00074C31"/>
    <w:rsid w:val="000A668D"/>
    <w:rsid w:val="000E252B"/>
    <w:rsid w:val="000F492C"/>
    <w:rsid w:val="000F6E4C"/>
    <w:rsid w:val="00104336"/>
    <w:rsid w:val="00116F1C"/>
    <w:rsid w:val="00123D8F"/>
    <w:rsid w:val="0012726A"/>
    <w:rsid w:val="00131A09"/>
    <w:rsid w:val="00194D02"/>
    <w:rsid w:val="001A1405"/>
    <w:rsid w:val="001A1D93"/>
    <w:rsid w:val="001A62A2"/>
    <w:rsid w:val="001C2F27"/>
    <w:rsid w:val="001C5EF1"/>
    <w:rsid w:val="001E7916"/>
    <w:rsid w:val="001E7DA4"/>
    <w:rsid w:val="00206A70"/>
    <w:rsid w:val="00224534"/>
    <w:rsid w:val="002266C2"/>
    <w:rsid w:val="00234FC9"/>
    <w:rsid w:val="0024275B"/>
    <w:rsid w:val="00253F7A"/>
    <w:rsid w:val="00255C22"/>
    <w:rsid w:val="00265018"/>
    <w:rsid w:val="002B146D"/>
    <w:rsid w:val="002E1E7B"/>
    <w:rsid w:val="002E6D0F"/>
    <w:rsid w:val="002E7128"/>
    <w:rsid w:val="002F6BAF"/>
    <w:rsid w:val="00300F8D"/>
    <w:rsid w:val="00302095"/>
    <w:rsid w:val="00312E0B"/>
    <w:rsid w:val="003147F1"/>
    <w:rsid w:val="00324D86"/>
    <w:rsid w:val="00334998"/>
    <w:rsid w:val="00347DD7"/>
    <w:rsid w:val="00350B2E"/>
    <w:rsid w:val="00353FDE"/>
    <w:rsid w:val="00385AEC"/>
    <w:rsid w:val="003972AE"/>
    <w:rsid w:val="003A5B30"/>
    <w:rsid w:val="003C5B87"/>
    <w:rsid w:val="003D6E1A"/>
    <w:rsid w:val="003E72B2"/>
    <w:rsid w:val="003F5A52"/>
    <w:rsid w:val="003F60B8"/>
    <w:rsid w:val="004312A6"/>
    <w:rsid w:val="00453648"/>
    <w:rsid w:val="00465DB5"/>
    <w:rsid w:val="00467B6A"/>
    <w:rsid w:val="00484930"/>
    <w:rsid w:val="00493E0F"/>
    <w:rsid w:val="004A0ED1"/>
    <w:rsid w:val="004A5DD3"/>
    <w:rsid w:val="004A6109"/>
    <w:rsid w:val="004A6189"/>
    <w:rsid w:val="004B05B2"/>
    <w:rsid w:val="004B7039"/>
    <w:rsid w:val="004C4E75"/>
    <w:rsid w:val="004D74B6"/>
    <w:rsid w:val="004E194C"/>
    <w:rsid w:val="004F6FFF"/>
    <w:rsid w:val="00523E2D"/>
    <w:rsid w:val="00535249"/>
    <w:rsid w:val="00543091"/>
    <w:rsid w:val="00557D21"/>
    <w:rsid w:val="00573AE4"/>
    <w:rsid w:val="00575FCD"/>
    <w:rsid w:val="0057626F"/>
    <w:rsid w:val="00586038"/>
    <w:rsid w:val="00592063"/>
    <w:rsid w:val="005A4C4C"/>
    <w:rsid w:val="005B3982"/>
    <w:rsid w:val="005B6227"/>
    <w:rsid w:val="005B7FAF"/>
    <w:rsid w:val="005E534A"/>
    <w:rsid w:val="00621CAC"/>
    <w:rsid w:val="00637A4D"/>
    <w:rsid w:val="00643ABA"/>
    <w:rsid w:val="006511DE"/>
    <w:rsid w:val="00654583"/>
    <w:rsid w:val="00654EC9"/>
    <w:rsid w:val="00667928"/>
    <w:rsid w:val="00672DCE"/>
    <w:rsid w:val="00690E1A"/>
    <w:rsid w:val="00692E18"/>
    <w:rsid w:val="00696E9E"/>
    <w:rsid w:val="006A6232"/>
    <w:rsid w:val="006A7062"/>
    <w:rsid w:val="006B34E0"/>
    <w:rsid w:val="006C5462"/>
    <w:rsid w:val="006C72BE"/>
    <w:rsid w:val="006C7C14"/>
    <w:rsid w:val="006D42FF"/>
    <w:rsid w:val="006D555C"/>
    <w:rsid w:val="006E424D"/>
    <w:rsid w:val="006F1019"/>
    <w:rsid w:val="00701B1D"/>
    <w:rsid w:val="00714F09"/>
    <w:rsid w:val="007154E8"/>
    <w:rsid w:val="00715738"/>
    <w:rsid w:val="00722FE1"/>
    <w:rsid w:val="0073790B"/>
    <w:rsid w:val="0074574C"/>
    <w:rsid w:val="00747A7F"/>
    <w:rsid w:val="00756D90"/>
    <w:rsid w:val="007718E7"/>
    <w:rsid w:val="0079200A"/>
    <w:rsid w:val="00794793"/>
    <w:rsid w:val="00796C1C"/>
    <w:rsid w:val="00796F8A"/>
    <w:rsid w:val="007A0777"/>
    <w:rsid w:val="007C453D"/>
    <w:rsid w:val="007F32B5"/>
    <w:rsid w:val="007F33D1"/>
    <w:rsid w:val="007F7E96"/>
    <w:rsid w:val="008014B7"/>
    <w:rsid w:val="0080557D"/>
    <w:rsid w:val="00811370"/>
    <w:rsid w:val="00827869"/>
    <w:rsid w:val="00845F56"/>
    <w:rsid w:val="008569F3"/>
    <w:rsid w:val="00885DAF"/>
    <w:rsid w:val="00891CED"/>
    <w:rsid w:val="00892BA1"/>
    <w:rsid w:val="008A10E4"/>
    <w:rsid w:val="008E01C5"/>
    <w:rsid w:val="008F2D73"/>
    <w:rsid w:val="00917335"/>
    <w:rsid w:val="00931069"/>
    <w:rsid w:val="009478D8"/>
    <w:rsid w:val="00950A34"/>
    <w:rsid w:val="00951A96"/>
    <w:rsid w:val="009520D3"/>
    <w:rsid w:val="00955052"/>
    <w:rsid w:val="009825FF"/>
    <w:rsid w:val="00993A2C"/>
    <w:rsid w:val="009A123A"/>
    <w:rsid w:val="009B392D"/>
    <w:rsid w:val="009B5F48"/>
    <w:rsid w:val="009E0CA6"/>
    <w:rsid w:val="009E183A"/>
    <w:rsid w:val="00A069E9"/>
    <w:rsid w:val="00A27E15"/>
    <w:rsid w:val="00A3049F"/>
    <w:rsid w:val="00A30F41"/>
    <w:rsid w:val="00A315D9"/>
    <w:rsid w:val="00A76963"/>
    <w:rsid w:val="00A8461D"/>
    <w:rsid w:val="00AA0868"/>
    <w:rsid w:val="00AA0D76"/>
    <w:rsid w:val="00AA2974"/>
    <w:rsid w:val="00AC536F"/>
    <w:rsid w:val="00AE0B96"/>
    <w:rsid w:val="00AE156B"/>
    <w:rsid w:val="00AE2BC5"/>
    <w:rsid w:val="00AE58FD"/>
    <w:rsid w:val="00AF75D3"/>
    <w:rsid w:val="00B0648A"/>
    <w:rsid w:val="00B064CE"/>
    <w:rsid w:val="00B10FFE"/>
    <w:rsid w:val="00B13471"/>
    <w:rsid w:val="00B205B6"/>
    <w:rsid w:val="00B25EE8"/>
    <w:rsid w:val="00B30EFC"/>
    <w:rsid w:val="00B55FFA"/>
    <w:rsid w:val="00B62E9E"/>
    <w:rsid w:val="00B66127"/>
    <w:rsid w:val="00B73C33"/>
    <w:rsid w:val="00B86BA6"/>
    <w:rsid w:val="00B91E61"/>
    <w:rsid w:val="00BC4A02"/>
    <w:rsid w:val="00BD6360"/>
    <w:rsid w:val="00BE2FD5"/>
    <w:rsid w:val="00BF3C85"/>
    <w:rsid w:val="00C073DD"/>
    <w:rsid w:val="00C101C1"/>
    <w:rsid w:val="00C21AE4"/>
    <w:rsid w:val="00C42F4F"/>
    <w:rsid w:val="00C6623D"/>
    <w:rsid w:val="00C768E5"/>
    <w:rsid w:val="00CA7331"/>
    <w:rsid w:val="00CD1069"/>
    <w:rsid w:val="00CF0B95"/>
    <w:rsid w:val="00CF6B53"/>
    <w:rsid w:val="00D00B61"/>
    <w:rsid w:val="00D44351"/>
    <w:rsid w:val="00D502D9"/>
    <w:rsid w:val="00D562D5"/>
    <w:rsid w:val="00D6084F"/>
    <w:rsid w:val="00D66D04"/>
    <w:rsid w:val="00D74D1E"/>
    <w:rsid w:val="00D840D2"/>
    <w:rsid w:val="00D94BD7"/>
    <w:rsid w:val="00DA1518"/>
    <w:rsid w:val="00DB18EE"/>
    <w:rsid w:val="00DB3DAD"/>
    <w:rsid w:val="00DB4411"/>
    <w:rsid w:val="00DB77AB"/>
    <w:rsid w:val="00DE7FCE"/>
    <w:rsid w:val="00DF3B79"/>
    <w:rsid w:val="00DF73EA"/>
    <w:rsid w:val="00E03BB5"/>
    <w:rsid w:val="00E071F8"/>
    <w:rsid w:val="00E41EF9"/>
    <w:rsid w:val="00E5494B"/>
    <w:rsid w:val="00E968DD"/>
    <w:rsid w:val="00EB7204"/>
    <w:rsid w:val="00ED367D"/>
    <w:rsid w:val="00ED5C65"/>
    <w:rsid w:val="00EF434A"/>
    <w:rsid w:val="00EF6D67"/>
    <w:rsid w:val="00F03271"/>
    <w:rsid w:val="00F12B44"/>
    <w:rsid w:val="00F17CC8"/>
    <w:rsid w:val="00F42A60"/>
    <w:rsid w:val="00F43569"/>
    <w:rsid w:val="00F46361"/>
    <w:rsid w:val="00F6284D"/>
    <w:rsid w:val="00FD1155"/>
    <w:rsid w:val="00FD256A"/>
    <w:rsid w:val="00FF4AE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1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696E9E"/>
    <w:pPr>
      <w:keepNext/>
      <w:keepLines/>
      <w:numPr>
        <w:numId w:val="38"/>
      </w:numPr>
      <w:tabs>
        <w:tab w:val="left" w:pos="284"/>
      </w:tabs>
      <w:spacing w:before="240" w:after="0"/>
      <w:outlineLvl w:val="0"/>
    </w:pPr>
    <w:rPr>
      <w:rFonts w:asciiTheme="majorHAnsi" w:eastAsiaTheme="majorEastAsia" w:hAnsiTheme="majorHAnsi" w:cstheme="majorBidi"/>
      <w:b/>
      <w:bCs/>
      <w:color w:val="365F91" w:themeColor="accent1" w:themeShade="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7A7F"/>
    <w:pPr>
      <w:ind w:left="720"/>
      <w:contextualSpacing/>
    </w:pPr>
  </w:style>
  <w:style w:type="paragraph" w:styleId="BodyText">
    <w:name w:val="Body Text"/>
    <w:basedOn w:val="Normal"/>
    <w:link w:val="BodyTextChar"/>
    <w:rsid w:val="00B1347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134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4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7F1"/>
    <w:rPr>
      <w:rFonts w:ascii="Tahoma" w:hAnsi="Tahoma" w:cs="Tahoma"/>
      <w:sz w:val="16"/>
      <w:szCs w:val="16"/>
    </w:rPr>
  </w:style>
  <w:style w:type="paragraph" w:styleId="Header">
    <w:name w:val="header"/>
    <w:basedOn w:val="Normal"/>
    <w:link w:val="HeaderChar"/>
    <w:uiPriority w:val="99"/>
    <w:unhideWhenUsed/>
    <w:rsid w:val="00714F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4F09"/>
  </w:style>
  <w:style w:type="paragraph" w:styleId="Footer">
    <w:name w:val="footer"/>
    <w:basedOn w:val="Normal"/>
    <w:link w:val="FooterChar"/>
    <w:uiPriority w:val="99"/>
    <w:unhideWhenUsed/>
    <w:rsid w:val="00714F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4F09"/>
  </w:style>
  <w:style w:type="table" w:styleId="TableGrid">
    <w:name w:val="Table Grid"/>
    <w:basedOn w:val="TableNormal"/>
    <w:uiPriority w:val="59"/>
    <w:rsid w:val="00CF0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24534"/>
  </w:style>
  <w:style w:type="character" w:styleId="CommentReference">
    <w:name w:val="annotation reference"/>
    <w:basedOn w:val="DefaultParagraphFont"/>
    <w:uiPriority w:val="99"/>
    <w:semiHidden/>
    <w:unhideWhenUsed/>
    <w:rsid w:val="00350B2E"/>
    <w:rPr>
      <w:sz w:val="16"/>
      <w:szCs w:val="16"/>
    </w:rPr>
  </w:style>
  <w:style w:type="paragraph" w:styleId="CommentText">
    <w:name w:val="annotation text"/>
    <w:basedOn w:val="Normal"/>
    <w:link w:val="CommentTextChar"/>
    <w:uiPriority w:val="99"/>
    <w:semiHidden/>
    <w:unhideWhenUsed/>
    <w:rsid w:val="00350B2E"/>
    <w:pPr>
      <w:spacing w:line="240" w:lineRule="auto"/>
    </w:pPr>
    <w:rPr>
      <w:sz w:val="20"/>
      <w:szCs w:val="20"/>
    </w:rPr>
  </w:style>
  <w:style w:type="character" w:customStyle="1" w:styleId="CommentTextChar">
    <w:name w:val="Comment Text Char"/>
    <w:basedOn w:val="DefaultParagraphFont"/>
    <w:link w:val="CommentText"/>
    <w:uiPriority w:val="99"/>
    <w:semiHidden/>
    <w:rsid w:val="00350B2E"/>
    <w:rPr>
      <w:sz w:val="20"/>
      <w:szCs w:val="20"/>
    </w:rPr>
  </w:style>
  <w:style w:type="paragraph" w:styleId="CommentSubject">
    <w:name w:val="annotation subject"/>
    <w:basedOn w:val="CommentText"/>
    <w:next w:val="CommentText"/>
    <w:link w:val="CommentSubjectChar"/>
    <w:uiPriority w:val="99"/>
    <w:semiHidden/>
    <w:unhideWhenUsed/>
    <w:rsid w:val="00350B2E"/>
    <w:rPr>
      <w:b/>
      <w:bCs/>
    </w:rPr>
  </w:style>
  <w:style w:type="character" w:customStyle="1" w:styleId="CommentSubjectChar">
    <w:name w:val="Comment Subject Char"/>
    <w:basedOn w:val="CommentTextChar"/>
    <w:link w:val="CommentSubject"/>
    <w:uiPriority w:val="99"/>
    <w:semiHidden/>
    <w:rsid w:val="00350B2E"/>
    <w:rPr>
      <w:b/>
      <w:bCs/>
      <w:sz w:val="20"/>
      <w:szCs w:val="20"/>
    </w:rPr>
  </w:style>
  <w:style w:type="character" w:customStyle="1" w:styleId="ListParagraphChar">
    <w:name w:val="List Paragraph Char"/>
    <w:link w:val="ListParagraph"/>
    <w:uiPriority w:val="34"/>
    <w:rsid w:val="00696E9E"/>
  </w:style>
  <w:style w:type="character" w:customStyle="1" w:styleId="Heading1Char">
    <w:name w:val="Heading 1 Char"/>
    <w:basedOn w:val="DefaultParagraphFont"/>
    <w:link w:val="Heading1"/>
    <w:uiPriority w:val="9"/>
    <w:rsid w:val="00696E9E"/>
    <w:rPr>
      <w:rFonts w:asciiTheme="majorHAnsi" w:eastAsiaTheme="majorEastAsia" w:hAnsiTheme="majorHAnsi" w:cstheme="majorBidi"/>
      <w:b/>
      <w:bCs/>
      <w:color w:val="365F91" w:themeColor="accent1" w:themeShade="BF"/>
      <w:u w:val="single"/>
    </w:rPr>
  </w:style>
  <w:style w:type="paragraph" w:styleId="TOC1">
    <w:name w:val="toc 1"/>
    <w:basedOn w:val="Normal"/>
    <w:next w:val="Normal"/>
    <w:autoRedefine/>
    <w:uiPriority w:val="39"/>
    <w:unhideWhenUsed/>
    <w:rsid w:val="005E534A"/>
    <w:pPr>
      <w:spacing w:after="100"/>
    </w:pPr>
  </w:style>
  <w:style w:type="character" w:styleId="Hyperlink">
    <w:name w:val="Hyperlink"/>
    <w:basedOn w:val="DefaultParagraphFont"/>
    <w:uiPriority w:val="99"/>
    <w:unhideWhenUsed/>
    <w:rsid w:val="005E53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696E9E"/>
    <w:pPr>
      <w:keepNext/>
      <w:keepLines/>
      <w:numPr>
        <w:numId w:val="38"/>
      </w:numPr>
      <w:tabs>
        <w:tab w:val="left" w:pos="284"/>
      </w:tabs>
      <w:spacing w:before="240" w:after="0"/>
      <w:outlineLvl w:val="0"/>
    </w:pPr>
    <w:rPr>
      <w:rFonts w:asciiTheme="majorHAnsi" w:eastAsiaTheme="majorEastAsia" w:hAnsiTheme="majorHAnsi" w:cstheme="majorBidi"/>
      <w:b/>
      <w:bCs/>
      <w:color w:val="365F91" w:themeColor="accent1" w:themeShade="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7A7F"/>
    <w:pPr>
      <w:ind w:left="720"/>
      <w:contextualSpacing/>
    </w:pPr>
  </w:style>
  <w:style w:type="paragraph" w:styleId="BodyText">
    <w:name w:val="Body Text"/>
    <w:basedOn w:val="Normal"/>
    <w:link w:val="BodyTextChar"/>
    <w:rsid w:val="00B1347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134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4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7F1"/>
    <w:rPr>
      <w:rFonts w:ascii="Tahoma" w:hAnsi="Tahoma" w:cs="Tahoma"/>
      <w:sz w:val="16"/>
      <w:szCs w:val="16"/>
    </w:rPr>
  </w:style>
  <w:style w:type="paragraph" w:styleId="Header">
    <w:name w:val="header"/>
    <w:basedOn w:val="Normal"/>
    <w:link w:val="HeaderChar"/>
    <w:uiPriority w:val="99"/>
    <w:unhideWhenUsed/>
    <w:rsid w:val="00714F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4F09"/>
  </w:style>
  <w:style w:type="paragraph" w:styleId="Footer">
    <w:name w:val="footer"/>
    <w:basedOn w:val="Normal"/>
    <w:link w:val="FooterChar"/>
    <w:uiPriority w:val="99"/>
    <w:unhideWhenUsed/>
    <w:rsid w:val="00714F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4F09"/>
  </w:style>
  <w:style w:type="table" w:styleId="TableGrid">
    <w:name w:val="Table Grid"/>
    <w:basedOn w:val="TableNormal"/>
    <w:uiPriority w:val="59"/>
    <w:rsid w:val="00CF0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24534"/>
  </w:style>
  <w:style w:type="character" w:styleId="CommentReference">
    <w:name w:val="annotation reference"/>
    <w:basedOn w:val="DefaultParagraphFont"/>
    <w:uiPriority w:val="99"/>
    <w:semiHidden/>
    <w:unhideWhenUsed/>
    <w:rsid w:val="00350B2E"/>
    <w:rPr>
      <w:sz w:val="16"/>
      <w:szCs w:val="16"/>
    </w:rPr>
  </w:style>
  <w:style w:type="paragraph" w:styleId="CommentText">
    <w:name w:val="annotation text"/>
    <w:basedOn w:val="Normal"/>
    <w:link w:val="CommentTextChar"/>
    <w:uiPriority w:val="99"/>
    <w:semiHidden/>
    <w:unhideWhenUsed/>
    <w:rsid w:val="00350B2E"/>
    <w:pPr>
      <w:spacing w:line="240" w:lineRule="auto"/>
    </w:pPr>
    <w:rPr>
      <w:sz w:val="20"/>
      <w:szCs w:val="20"/>
    </w:rPr>
  </w:style>
  <w:style w:type="character" w:customStyle="1" w:styleId="CommentTextChar">
    <w:name w:val="Comment Text Char"/>
    <w:basedOn w:val="DefaultParagraphFont"/>
    <w:link w:val="CommentText"/>
    <w:uiPriority w:val="99"/>
    <w:semiHidden/>
    <w:rsid w:val="00350B2E"/>
    <w:rPr>
      <w:sz w:val="20"/>
      <w:szCs w:val="20"/>
    </w:rPr>
  </w:style>
  <w:style w:type="paragraph" w:styleId="CommentSubject">
    <w:name w:val="annotation subject"/>
    <w:basedOn w:val="CommentText"/>
    <w:next w:val="CommentText"/>
    <w:link w:val="CommentSubjectChar"/>
    <w:uiPriority w:val="99"/>
    <w:semiHidden/>
    <w:unhideWhenUsed/>
    <w:rsid w:val="00350B2E"/>
    <w:rPr>
      <w:b/>
      <w:bCs/>
    </w:rPr>
  </w:style>
  <w:style w:type="character" w:customStyle="1" w:styleId="CommentSubjectChar">
    <w:name w:val="Comment Subject Char"/>
    <w:basedOn w:val="CommentTextChar"/>
    <w:link w:val="CommentSubject"/>
    <w:uiPriority w:val="99"/>
    <w:semiHidden/>
    <w:rsid w:val="00350B2E"/>
    <w:rPr>
      <w:b/>
      <w:bCs/>
      <w:sz w:val="20"/>
      <w:szCs w:val="20"/>
    </w:rPr>
  </w:style>
  <w:style w:type="character" w:customStyle="1" w:styleId="ListParagraphChar">
    <w:name w:val="List Paragraph Char"/>
    <w:link w:val="ListParagraph"/>
    <w:uiPriority w:val="34"/>
    <w:rsid w:val="00696E9E"/>
  </w:style>
  <w:style w:type="character" w:customStyle="1" w:styleId="Heading1Char">
    <w:name w:val="Heading 1 Char"/>
    <w:basedOn w:val="DefaultParagraphFont"/>
    <w:link w:val="Heading1"/>
    <w:uiPriority w:val="9"/>
    <w:rsid w:val="00696E9E"/>
    <w:rPr>
      <w:rFonts w:asciiTheme="majorHAnsi" w:eastAsiaTheme="majorEastAsia" w:hAnsiTheme="majorHAnsi" w:cstheme="majorBidi"/>
      <w:b/>
      <w:bCs/>
      <w:color w:val="365F91" w:themeColor="accent1" w:themeShade="BF"/>
      <w:u w:val="single"/>
    </w:rPr>
  </w:style>
  <w:style w:type="paragraph" w:styleId="TOC1">
    <w:name w:val="toc 1"/>
    <w:basedOn w:val="Normal"/>
    <w:next w:val="Normal"/>
    <w:autoRedefine/>
    <w:uiPriority w:val="39"/>
    <w:unhideWhenUsed/>
    <w:rsid w:val="005E534A"/>
    <w:pPr>
      <w:spacing w:after="100"/>
    </w:pPr>
  </w:style>
  <w:style w:type="character" w:styleId="Hyperlink">
    <w:name w:val="Hyperlink"/>
    <w:basedOn w:val="DefaultParagraphFont"/>
    <w:uiPriority w:val="99"/>
    <w:unhideWhenUsed/>
    <w:rsid w:val="005E53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95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ABF42-FAB6-4AC4-9CA1-8DF374552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1991</Words>
  <Characters>10951</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SMI;Fatima Barkan</dc:creator>
  <cp:lastModifiedBy>user</cp:lastModifiedBy>
  <cp:revision>2</cp:revision>
  <cp:lastPrinted>2017-04-21T14:18:00Z</cp:lastPrinted>
  <dcterms:created xsi:type="dcterms:W3CDTF">2017-04-26T11:43:00Z</dcterms:created>
  <dcterms:modified xsi:type="dcterms:W3CDTF">2017-04-26T11:43:00Z</dcterms:modified>
</cp:coreProperties>
</file>