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450"/>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2018"/>
        <w:gridCol w:w="2660"/>
      </w:tblGrid>
      <w:tr w:rsidR="00470252" w:rsidTr="00552766">
        <w:trPr>
          <w:trHeight w:val="1566"/>
        </w:trPr>
        <w:tc>
          <w:tcPr>
            <w:tcW w:w="6237" w:type="dxa"/>
          </w:tcPr>
          <w:p w:rsidR="00470252" w:rsidRDefault="00470252" w:rsidP="00DB51A6">
            <w:pPr>
              <w:autoSpaceDE w:val="0"/>
              <w:autoSpaceDN w:val="0"/>
              <w:adjustRightInd w:val="0"/>
              <w:spacing w:before="600"/>
              <w:rPr>
                <w:rFonts w:cs="Times New Roman"/>
                <w:color w:val="231F20"/>
                <w:sz w:val="24"/>
                <w:szCs w:val="24"/>
              </w:rPr>
            </w:pPr>
            <w:bookmarkStart w:id="0" w:name="_GoBack"/>
            <w:bookmarkEnd w:id="0"/>
            <w:r w:rsidRPr="008977AA">
              <w:rPr>
                <w:rFonts w:eastAsia="Times New Roman" w:cs="Arial"/>
                <w:b/>
                <w:noProof/>
                <w:sz w:val="20"/>
                <w:szCs w:val="20"/>
                <w:u w:val="single"/>
              </w:rPr>
              <w:drawing>
                <wp:anchor distT="0" distB="0" distL="114300" distR="114300" simplePos="0" relativeHeight="251659264" behindDoc="0" locked="0" layoutInCell="1" allowOverlap="1">
                  <wp:simplePos x="0" y="0"/>
                  <wp:positionH relativeFrom="margin">
                    <wp:posOffset>21590</wp:posOffset>
                  </wp:positionH>
                  <wp:positionV relativeFrom="margin">
                    <wp:posOffset>2540</wp:posOffset>
                  </wp:positionV>
                  <wp:extent cx="3705225" cy="771525"/>
                  <wp:effectExtent l="0" t="0" r="9525" b="9525"/>
                  <wp:wrapSquare wrapText="bothSides"/>
                  <wp:docPr id="2"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771525"/>
                          </a:xfrm>
                          <a:prstGeom prst="rect">
                            <a:avLst/>
                          </a:prstGeom>
                          <a:noFill/>
                          <a:ln w="9525">
                            <a:noFill/>
                            <a:miter lim="800000"/>
                            <a:headEnd/>
                            <a:tailEnd/>
                          </a:ln>
                        </pic:spPr>
                      </pic:pic>
                    </a:graphicData>
                  </a:graphic>
                </wp:anchor>
              </w:drawing>
            </w:r>
          </w:p>
        </w:tc>
        <w:tc>
          <w:tcPr>
            <w:tcW w:w="2018" w:type="dxa"/>
          </w:tcPr>
          <w:p w:rsidR="00470252" w:rsidRDefault="00470252" w:rsidP="00DB51A6">
            <w:pPr>
              <w:autoSpaceDE w:val="0"/>
              <w:autoSpaceDN w:val="0"/>
              <w:adjustRightInd w:val="0"/>
              <w:spacing w:before="600"/>
              <w:jc w:val="right"/>
              <w:rPr>
                <w:rFonts w:cs="Times New Roman"/>
                <w:color w:val="231F20"/>
                <w:sz w:val="24"/>
                <w:szCs w:val="24"/>
              </w:rPr>
            </w:pPr>
            <w:r>
              <w:rPr>
                <w:rFonts w:ascii="Calibri" w:eastAsia="Times New Roman" w:hAnsi="Calibri" w:cs="Arial"/>
                <w:b/>
                <w:noProof/>
                <w:sz w:val="20"/>
                <w:szCs w:val="20"/>
                <w:u w:val="single"/>
              </w:rPr>
              <w:drawing>
                <wp:anchor distT="0" distB="0" distL="114300" distR="114300" simplePos="0" relativeHeight="251660288" behindDoc="0" locked="0" layoutInCell="1" allowOverlap="1">
                  <wp:simplePos x="0" y="0"/>
                  <wp:positionH relativeFrom="column">
                    <wp:posOffset>-138430</wp:posOffset>
                  </wp:positionH>
                  <wp:positionV relativeFrom="paragraph">
                    <wp:posOffset>88265</wp:posOffset>
                  </wp:positionV>
                  <wp:extent cx="1200150" cy="638175"/>
                  <wp:effectExtent l="0" t="0" r="0" b="9525"/>
                  <wp:wrapNone/>
                  <wp:docPr id="3" name="Picture 2" descr="sg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ang"/>
                          <pic:cNvPicPr>
                            <a:picLocks noChangeAspect="1" noChangeArrowheads="1"/>
                          </pic:cNvPicPr>
                        </pic:nvPicPr>
                        <pic:blipFill>
                          <a:blip r:embed="rId10" cstate="print"/>
                          <a:srcRect l="-737" r="72415" b="55475"/>
                          <a:stretch>
                            <a:fillRect/>
                          </a:stretch>
                        </pic:blipFill>
                        <pic:spPr bwMode="auto">
                          <a:xfrm>
                            <a:off x="0" y="0"/>
                            <a:ext cx="1200150" cy="638175"/>
                          </a:xfrm>
                          <a:prstGeom prst="rect">
                            <a:avLst/>
                          </a:prstGeom>
                          <a:noFill/>
                          <a:ln w="9525">
                            <a:noFill/>
                            <a:miter lim="800000"/>
                            <a:headEnd/>
                            <a:tailEnd/>
                          </a:ln>
                        </pic:spPr>
                      </pic:pic>
                    </a:graphicData>
                  </a:graphic>
                </wp:anchor>
              </w:drawing>
            </w:r>
          </w:p>
        </w:tc>
        <w:tc>
          <w:tcPr>
            <w:tcW w:w="2660" w:type="dxa"/>
            <w:vAlign w:val="center"/>
          </w:tcPr>
          <w:p w:rsidR="00470252" w:rsidRDefault="00470252" w:rsidP="00DB51A6">
            <w:pPr>
              <w:autoSpaceDE w:val="0"/>
              <w:autoSpaceDN w:val="0"/>
              <w:adjustRightInd w:val="0"/>
              <w:spacing w:before="600"/>
              <w:jc w:val="center"/>
              <w:rPr>
                <w:rFonts w:ascii="Calibri" w:eastAsia="Times New Roman" w:hAnsi="Calibri" w:cs="Arial"/>
                <w:b/>
                <w:noProof/>
                <w:sz w:val="20"/>
                <w:szCs w:val="20"/>
                <w:u w:val="single"/>
              </w:rPr>
            </w:pPr>
            <w:r>
              <w:rPr>
                <w:rFonts w:ascii="Calibri" w:eastAsia="Times New Roman" w:hAnsi="Calibri" w:cs="Arial"/>
                <w:b/>
                <w:noProof/>
                <w:sz w:val="20"/>
                <w:szCs w:val="20"/>
                <w:u w:val="single"/>
              </w:rPr>
              <w:drawing>
                <wp:anchor distT="0" distB="0" distL="114300" distR="114300" simplePos="0" relativeHeight="251661312" behindDoc="0" locked="0" layoutInCell="1" allowOverlap="1">
                  <wp:simplePos x="0" y="0"/>
                  <wp:positionH relativeFrom="column">
                    <wp:posOffset>-49530</wp:posOffset>
                  </wp:positionH>
                  <wp:positionV relativeFrom="paragraph">
                    <wp:posOffset>-309245</wp:posOffset>
                  </wp:positionV>
                  <wp:extent cx="1549400" cy="2952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op belge - HD_F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00" cy="295275"/>
                          </a:xfrm>
                          <a:prstGeom prst="rect">
                            <a:avLst/>
                          </a:prstGeom>
                        </pic:spPr>
                      </pic:pic>
                    </a:graphicData>
                  </a:graphic>
                </wp:anchor>
              </w:drawing>
            </w:r>
          </w:p>
        </w:tc>
      </w:tr>
    </w:tbl>
    <w:p w:rsidR="00552766" w:rsidRDefault="00552766" w:rsidP="008B320F">
      <w:pPr>
        <w:autoSpaceDE w:val="0"/>
        <w:autoSpaceDN w:val="0"/>
        <w:adjustRightInd w:val="0"/>
        <w:spacing w:after="0" w:line="240" w:lineRule="auto"/>
        <w:jc w:val="center"/>
        <w:rPr>
          <w:rFonts w:cs="Times New Roman"/>
          <w:b/>
          <w:bCs/>
          <w:color w:val="231F20"/>
          <w:sz w:val="24"/>
          <w:szCs w:val="24"/>
        </w:rPr>
      </w:pPr>
    </w:p>
    <w:p w:rsidR="00E75329" w:rsidRPr="008977AA" w:rsidRDefault="000B2C2F" w:rsidP="008B320F">
      <w:pPr>
        <w:autoSpaceDE w:val="0"/>
        <w:autoSpaceDN w:val="0"/>
        <w:adjustRightInd w:val="0"/>
        <w:spacing w:after="0" w:line="240" w:lineRule="auto"/>
        <w:jc w:val="center"/>
        <w:rPr>
          <w:rFonts w:cs="Times New Roman"/>
          <w:b/>
          <w:color w:val="231F20"/>
          <w:sz w:val="24"/>
          <w:szCs w:val="24"/>
        </w:rPr>
      </w:pPr>
      <w:r w:rsidRPr="008977AA">
        <w:rPr>
          <w:rFonts w:cs="Times New Roman"/>
          <w:b/>
          <w:bCs/>
          <w:color w:val="231F20"/>
          <w:sz w:val="24"/>
          <w:szCs w:val="24"/>
        </w:rPr>
        <w:t xml:space="preserve">Appel à Consultation pour le développement </w:t>
      </w:r>
      <w:r w:rsidRPr="008977AA">
        <w:rPr>
          <w:rFonts w:cs="Times New Roman"/>
          <w:b/>
          <w:color w:val="231F20"/>
          <w:sz w:val="24"/>
          <w:szCs w:val="24"/>
        </w:rPr>
        <w:t xml:space="preserve">d’une plateforme stratégique de coordination dans le domaine de la Prise en charge des Femmes Victimes de Violence </w:t>
      </w:r>
    </w:p>
    <w:p w:rsidR="00552766" w:rsidRDefault="00552766" w:rsidP="00467B6A">
      <w:pPr>
        <w:autoSpaceDE w:val="0"/>
        <w:autoSpaceDN w:val="0"/>
        <w:adjustRightInd w:val="0"/>
        <w:spacing w:after="0" w:line="240" w:lineRule="auto"/>
        <w:jc w:val="center"/>
        <w:rPr>
          <w:rFonts w:cs="Times New Roman"/>
          <w:b/>
          <w:color w:val="231F20"/>
          <w:sz w:val="28"/>
          <w:szCs w:val="28"/>
          <w:u w:val="single"/>
        </w:rPr>
      </w:pPr>
    </w:p>
    <w:p w:rsidR="001C2F27" w:rsidRPr="00A94326" w:rsidRDefault="00111D23" w:rsidP="00467B6A">
      <w:pPr>
        <w:autoSpaceDE w:val="0"/>
        <w:autoSpaceDN w:val="0"/>
        <w:adjustRightInd w:val="0"/>
        <w:spacing w:after="0" w:line="240" w:lineRule="auto"/>
        <w:jc w:val="center"/>
        <w:rPr>
          <w:rFonts w:cs="Times New Roman"/>
          <w:b/>
          <w:color w:val="231F20"/>
          <w:sz w:val="28"/>
          <w:szCs w:val="28"/>
          <w:u w:val="single"/>
        </w:rPr>
      </w:pPr>
      <w:r w:rsidRPr="00A94326">
        <w:rPr>
          <w:rFonts w:cs="Times New Roman"/>
          <w:b/>
          <w:color w:val="231F20"/>
          <w:sz w:val="28"/>
          <w:szCs w:val="28"/>
          <w:u w:val="single"/>
        </w:rPr>
        <w:t xml:space="preserve">- </w:t>
      </w:r>
      <w:r w:rsidR="000B2C2F" w:rsidRPr="00A94326">
        <w:rPr>
          <w:rFonts w:cs="Times New Roman"/>
          <w:b/>
          <w:color w:val="231F20"/>
          <w:sz w:val="28"/>
          <w:szCs w:val="28"/>
          <w:u w:val="single"/>
        </w:rPr>
        <w:t>Termes de référence</w:t>
      </w:r>
      <w:r w:rsidRPr="00A94326">
        <w:rPr>
          <w:rFonts w:cs="Times New Roman"/>
          <w:b/>
          <w:color w:val="231F20"/>
          <w:sz w:val="28"/>
          <w:szCs w:val="28"/>
          <w:u w:val="single"/>
        </w:rPr>
        <w:t xml:space="preserve"> -</w:t>
      </w:r>
    </w:p>
    <w:p w:rsidR="004A488D" w:rsidRPr="008977AA" w:rsidRDefault="004A488D" w:rsidP="004A488D">
      <w:pPr>
        <w:autoSpaceDE w:val="0"/>
        <w:autoSpaceDN w:val="0"/>
        <w:adjustRightInd w:val="0"/>
        <w:spacing w:after="0" w:line="240" w:lineRule="auto"/>
        <w:jc w:val="center"/>
        <w:rPr>
          <w:rFonts w:cs="Times New Roman"/>
          <w:b/>
          <w:color w:val="FF0000"/>
        </w:rPr>
      </w:pPr>
    </w:p>
    <w:p w:rsidR="001C2F27" w:rsidRPr="008977AA" w:rsidRDefault="001C2F27" w:rsidP="00F46361">
      <w:pPr>
        <w:autoSpaceDE w:val="0"/>
        <w:autoSpaceDN w:val="0"/>
        <w:adjustRightInd w:val="0"/>
        <w:spacing w:after="0" w:line="240" w:lineRule="auto"/>
        <w:jc w:val="both"/>
        <w:rPr>
          <w:rFonts w:cs="Times New Roman"/>
          <w:color w:val="231F20"/>
        </w:rPr>
      </w:pPr>
    </w:p>
    <w:p w:rsidR="001C2F27" w:rsidRPr="00207FD1" w:rsidRDefault="000B2C2F" w:rsidP="00207FD1">
      <w:pPr>
        <w:pStyle w:val="Heading1"/>
      </w:pPr>
      <w:r w:rsidRPr="00207FD1">
        <w:t>Contexte et Justifications</w:t>
      </w:r>
    </w:p>
    <w:p w:rsidR="004A488D" w:rsidRPr="008977AA" w:rsidRDefault="000B2C2F" w:rsidP="00DF0D1B">
      <w:pPr>
        <w:spacing w:before="240" w:after="0"/>
        <w:jc w:val="both"/>
        <w:rPr>
          <w:rFonts w:eastAsia="Times New Roman" w:cs="Times New Roman"/>
          <w:bCs/>
          <w:spacing w:val="4"/>
          <w:lang w:eastAsia="en-US"/>
        </w:rPr>
      </w:pPr>
      <w:r w:rsidRPr="008977AA">
        <w:rPr>
          <w:rFonts w:cs="Times New Roman"/>
          <w:lang w:bidi="ar-MA"/>
        </w:rPr>
        <w:t xml:space="preserve">La coordination et le partenariat entre les différents acteurs ont été les valeurs ajoutées du processus de lutte contre les violences à l’égard des femmes. </w:t>
      </w:r>
      <w:r w:rsidR="005B7BE4" w:rsidRPr="008977AA">
        <w:rPr>
          <w:rFonts w:cs="Times New Roman"/>
          <w:lang w:bidi="ar-MA"/>
        </w:rPr>
        <w:t>Ainsi,</w:t>
      </w:r>
      <w:r w:rsidR="005B7BE4" w:rsidRPr="008977AA">
        <w:rPr>
          <w:rFonts w:cs="Times New Roman"/>
        </w:rPr>
        <w:t xml:space="preserve"> p</w:t>
      </w:r>
      <w:r w:rsidR="005B7BE4" w:rsidRPr="008977AA">
        <w:rPr>
          <w:rFonts w:eastAsia="Times New Roman" w:cs="Times New Roman"/>
          <w:bCs/>
          <w:spacing w:val="4"/>
          <w:lang w:eastAsia="en-US"/>
        </w:rPr>
        <w:t>our faire face aux nouvelles formes et dimensions de ce fléau social, i</w:t>
      </w:r>
      <w:r w:rsidR="005B7BE4" w:rsidRPr="008977AA">
        <w:rPr>
          <w:rFonts w:cs="Times New Roman"/>
          <w:lang w:bidi="ar-MA"/>
        </w:rPr>
        <w:t xml:space="preserve">ls ont permis de mettre en place </w:t>
      </w:r>
      <w:r w:rsidR="005B7BE4" w:rsidRPr="008977AA">
        <w:rPr>
          <w:rFonts w:eastAsia="Times New Roman" w:cs="Times New Roman"/>
          <w:bCs/>
          <w:spacing w:val="4"/>
          <w:lang w:eastAsia="en-US"/>
        </w:rPr>
        <w:t xml:space="preserve">de nouvelles approches pour le développement de mécanismes institutionnels de soutien aux victimes via notamment </w:t>
      </w:r>
      <w:r w:rsidR="005B7BE4" w:rsidRPr="008977AA">
        <w:rPr>
          <w:rFonts w:cs="Times New Roman"/>
          <w:lang w:bidi="ar-MA"/>
        </w:rPr>
        <w:t xml:space="preserve">des centres d’écoute pour les femmes victimes de violence, </w:t>
      </w:r>
      <w:r w:rsidR="00DF0D1B">
        <w:rPr>
          <w:rFonts w:cs="Times New Roman"/>
          <w:lang w:bidi="ar-MA"/>
        </w:rPr>
        <w:t xml:space="preserve">des espaces multifonctionnels pour les femmes (EMF), </w:t>
      </w:r>
      <w:r w:rsidR="005B7BE4" w:rsidRPr="008977AA">
        <w:rPr>
          <w:rFonts w:eastAsia="Times New Roman" w:cs="Times New Roman"/>
          <w:bCs/>
          <w:spacing w:val="4"/>
          <w:lang w:eastAsia="en-US"/>
        </w:rPr>
        <w:t>la création/et généralisation des structures et services au niveau des tribunaux, des hôpitaux, de la Gendarmerie Royale, et des services de la Police Judiciaire. </w:t>
      </w:r>
    </w:p>
    <w:p w:rsidR="004A488D" w:rsidRPr="008977AA" w:rsidRDefault="00207FD1" w:rsidP="00111D23">
      <w:pPr>
        <w:spacing w:before="240" w:after="0"/>
        <w:jc w:val="both"/>
        <w:rPr>
          <w:rFonts w:eastAsia="Times New Roman" w:cs="Times New Roman"/>
          <w:bCs/>
        </w:rPr>
      </w:pPr>
      <w:r>
        <w:rPr>
          <w:rFonts w:cs="Times New Roman"/>
        </w:rPr>
        <w:t>L</w:t>
      </w:r>
      <w:r w:rsidR="000B2C2F" w:rsidRPr="008977AA">
        <w:rPr>
          <w:rFonts w:cs="Times New Roman"/>
        </w:rPr>
        <w:t xml:space="preserve">a coordination dans l’offre de services constitue une bonne pratique dans la mesure où les services de soutien aux </w:t>
      </w:r>
      <w:r w:rsidR="00DF0D1B">
        <w:rPr>
          <w:rFonts w:cs="Times New Roman"/>
          <w:lang w:bidi="ar-MA"/>
        </w:rPr>
        <w:t xml:space="preserve">femmes </w:t>
      </w:r>
      <w:r w:rsidR="000B2C2F" w:rsidRPr="008977AA">
        <w:rPr>
          <w:rFonts w:cs="Times New Roman"/>
        </w:rPr>
        <w:t>victimes de violence passent par l’interconnexion d’un certain nombre d’institutions et organisations de la société civile. Cependant, p</w:t>
      </w:r>
      <w:r w:rsidR="000B2C2F" w:rsidRPr="008977AA">
        <w:rPr>
          <w:rFonts w:eastAsia="Times New Roman" w:cs="Times New Roman"/>
          <w:bCs/>
        </w:rPr>
        <w:t xml:space="preserve">our optimiser l’efficacité des structures existantes et celles à créer et en assurer la cohérence et la coordination, il conviendrait que celles-ci améliorent les actions menées en réponse à la nature intersectorielle et multidimensionnelle de la violence à l’égard des femmes. </w:t>
      </w:r>
    </w:p>
    <w:p w:rsidR="004A488D" w:rsidRPr="008977AA" w:rsidRDefault="00302B50" w:rsidP="00DF0D1B">
      <w:pPr>
        <w:spacing w:before="240" w:after="0"/>
        <w:jc w:val="both"/>
        <w:rPr>
          <w:rFonts w:cs="Times New Roman"/>
        </w:rPr>
      </w:pPr>
      <w:r>
        <w:rPr>
          <w:rFonts w:eastAsia="Times New Roman" w:cs="Times New Roman"/>
          <w:bCs/>
        </w:rPr>
        <w:t>P</w:t>
      </w:r>
      <w:r w:rsidR="000B2C2F" w:rsidRPr="008977AA">
        <w:rPr>
          <w:rFonts w:eastAsia="Times New Roman" w:cs="Times New Roman"/>
          <w:bCs/>
        </w:rPr>
        <w:t xml:space="preserve">our que ces efforts puissent aboutir à une réponse bien coordonnée et dotée de ressources appropriées, visant à mettre fin à la violence à l’égard des femmes, la coordination devrait être basée sur une approche plus durable,  créatrice de synergie à même d’offrir et garantir un appui  de qualité aux femmes victimes de violences. C’est dans ce sens, que les mécanismes de coordination pour une prise en charge de qualité des femmes victimes de violence, devraient s’inscrire dans un cadre institutionnel renforcé à travers la mise en place d’une </w:t>
      </w:r>
      <w:r w:rsidR="000B2C2F" w:rsidRPr="008977AA">
        <w:rPr>
          <w:rFonts w:eastAsia="Times New Roman" w:cs="Times New Roman"/>
          <w:bCs/>
          <w:i/>
          <w:iCs/>
        </w:rPr>
        <w:t>plate-forme stratégique de coordination entre les différents acteurs institutionnels et de la société civile œuvrant dans ce domaine.</w:t>
      </w:r>
    </w:p>
    <w:p w:rsidR="00D34537" w:rsidRPr="008977AA" w:rsidRDefault="000B2C2F" w:rsidP="00DF0D1B">
      <w:pPr>
        <w:shd w:val="clear" w:color="auto" w:fill="FFFFFF" w:themeFill="background1"/>
        <w:spacing w:before="240" w:after="0"/>
        <w:jc w:val="both"/>
        <w:rPr>
          <w:rFonts w:cs="Times New Roman"/>
          <w:bCs/>
          <w:color w:val="000000" w:themeColor="text1"/>
        </w:rPr>
      </w:pPr>
      <w:r w:rsidRPr="008977AA">
        <w:rPr>
          <w:rFonts w:eastAsia="Times New Roman" w:cs="Times New Roman"/>
          <w:bCs/>
          <w:iCs/>
        </w:rPr>
        <w:t>Pour ce faire,</w:t>
      </w:r>
      <w:r w:rsidR="00302B50">
        <w:rPr>
          <w:rFonts w:eastAsia="Times New Roman" w:cs="Times New Roman"/>
          <w:bCs/>
          <w:iCs/>
        </w:rPr>
        <w:t xml:space="preserve"> </w:t>
      </w:r>
      <w:r w:rsidRPr="008977AA">
        <w:rPr>
          <w:rFonts w:cs="Times New Roman"/>
        </w:rPr>
        <w:t>au-delà des aspects d’intervention spécifiques des acteurs institutionnels et</w:t>
      </w:r>
      <w:r w:rsidR="00302B50">
        <w:rPr>
          <w:rFonts w:cs="Times New Roman"/>
        </w:rPr>
        <w:t xml:space="preserve"> </w:t>
      </w:r>
      <w:r w:rsidRPr="008977AA">
        <w:rPr>
          <w:rFonts w:cs="Times New Roman"/>
        </w:rPr>
        <w:t>associatifs, les mécanismes de coordination en tant qu’éléments indissociables de la cha</w:t>
      </w:r>
      <w:r w:rsidR="00DF0D1B">
        <w:rPr>
          <w:rFonts w:cs="Times New Roman"/>
        </w:rPr>
        <w:t>î</w:t>
      </w:r>
      <w:r w:rsidRPr="008977AA">
        <w:rPr>
          <w:rFonts w:cs="Times New Roman"/>
        </w:rPr>
        <w:t>ne de prise en charge (PEC) des femmes victimes de violence sont appelés à être davantage institutionnalisés et renforcés</w:t>
      </w:r>
      <w:r w:rsidR="00302B50">
        <w:rPr>
          <w:rFonts w:cs="Times New Roman"/>
        </w:rPr>
        <w:t xml:space="preserve"> </w:t>
      </w:r>
      <w:r w:rsidRPr="008977AA">
        <w:rPr>
          <w:rFonts w:cs="Times New Roman"/>
          <w:bCs/>
          <w:color w:val="000000" w:themeColor="text1"/>
        </w:rPr>
        <w:t xml:space="preserve">incluant une coordination au niveau régional et local </w:t>
      </w:r>
      <w:r w:rsidR="00DF0D1B">
        <w:rPr>
          <w:rFonts w:cs="Times New Roman"/>
          <w:bCs/>
          <w:color w:val="000000" w:themeColor="text1"/>
        </w:rPr>
        <w:t>avec d</w:t>
      </w:r>
      <w:r w:rsidRPr="008977AA">
        <w:rPr>
          <w:rFonts w:cs="Times New Roman"/>
          <w:bCs/>
          <w:color w:val="000000" w:themeColor="text1"/>
        </w:rPr>
        <w:t xml:space="preserve">es missions </w:t>
      </w:r>
      <w:r w:rsidR="005B7BE4" w:rsidRPr="008977AA">
        <w:rPr>
          <w:rFonts w:cs="Times New Roman"/>
          <w:bCs/>
          <w:color w:val="000000" w:themeColor="text1"/>
        </w:rPr>
        <w:t xml:space="preserve">spécifiques </w:t>
      </w:r>
      <w:r w:rsidRPr="008977AA">
        <w:rPr>
          <w:rFonts w:cs="Times New Roman"/>
          <w:bCs/>
          <w:color w:val="000000" w:themeColor="text1"/>
        </w:rPr>
        <w:t>assujetties à chacun des intervenants, un système de référence opérationnel</w:t>
      </w:r>
      <w:r w:rsidRPr="008977AA">
        <w:rPr>
          <w:rFonts w:cs="Times New Roman"/>
        </w:rPr>
        <w:t xml:space="preserve">, et ce </w:t>
      </w:r>
      <w:r w:rsidR="00302B50">
        <w:rPr>
          <w:rFonts w:cs="Times New Roman"/>
        </w:rPr>
        <w:t>afin</w:t>
      </w:r>
      <w:r w:rsidRPr="008977AA">
        <w:rPr>
          <w:rFonts w:cs="Times New Roman"/>
        </w:rPr>
        <w:t xml:space="preserve"> de répondre rapidement et efficacement aux besoins </w:t>
      </w:r>
      <w:r w:rsidR="005B7BE4" w:rsidRPr="008977AA">
        <w:rPr>
          <w:rFonts w:cs="Times New Roman"/>
        </w:rPr>
        <w:t xml:space="preserve">et à l’accès aux droits </w:t>
      </w:r>
      <w:r w:rsidRPr="008977AA">
        <w:rPr>
          <w:rFonts w:cs="Times New Roman"/>
        </w:rPr>
        <w:t>des femmes victimes de violences.</w:t>
      </w:r>
    </w:p>
    <w:p w:rsidR="000E5BB4" w:rsidRPr="008977AA" w:rsidRDefault="000B2C2F" w:rsidP="00111D23">
      <w:pPr>
        <w:spacing w:before="240" w:after="0"/>
        <w:jc w:val="both"/>
        <w:rPr>
          <w:rFonts w:eastAsia="Times New Roman" w:cs="Times New Roman"/>
        </w:rPr>
      </w:pPr>
      <w:r w:rsidRPr="008977AA">
        <w:rPr>
          <w:rFonts w:eastAsia="Times New Roman" w:cs="Times New Roman"/>
          <w:bCs/>
          <w:spacing w:val="4"/>
          <w:lang w:eastAsia="en-US"/>
        </w:rPr>
        <w:t>Les objectifs visés par la plateforme stratégique de coordination et établis selon une vision commune visent la</w:t>
      </w:r>
      <w:r w:rsidRPr="008977AA">
        <w:rPr>
          <w:rFonts w:eastAsia="Times New Roman" w:cs="Times New Roman"/>
        </w:rPr>
        <w:t xml:space="preserve"> cohérence entre les différentes interventions des acteurs institutionnels et associatifs favoris</w:t>
      </w:r>
      <w:r w:rsidRPr="008977AA">
        <w:rPr>
          <w:rFonts w:cs="Times New Roman"/>
        </w:rPr>
        <w:t xml:space="preserve">ant </w:t>
      </w:r>
      <w:r w:rsidRPr="008977AA">
        <w:rPr>
          <w:rFonts w:eastAsia="Times New Roman" w:cs="Times New Roman"/>
        </w:rPr>
        <w:t>ainsi une mutualisation des ressources et</w:t>
      </w:r>
      <w:r w:rsidRPr="008977AA">
        <w:rPr>
          <w:rFonts w:cs="Times New Roman"/>
        </w:rPr>
        <w:t xml:space="preserve"> des</w:t>
      </w:r>
      <w:r w:rsidR="00302B50">
        <w:rPr>
          <w:rFonts w:cs="Times New Roman"/>
        </w:rPr>
        <w:t xml:space="preserve"> </w:t>
      </w:r>
      <w:r w:rsidRPr="008977AA">
        <w:rPr>
          <w:rFonts w:eastAsia="Times New Roman" w:cs="Times New Roman"/>
        </w:rPr>
        <w:t xml:space="preserve">compétences ; des principes de </w:t>
      </w:r>
      <w:r w:rsidRPr="008977AA">
        <w:rPr>
          <w:rFonts w:eastAsia="Times New Roman" w:cs="Times New Roman"/>
        </w:rPr>
        <w:lastRenderedPageBreak/>
        <w:t>bonne gouvernance; la complémentarité et l’alignement dans la formulation des politiques publiques et des stratégies en matière d</w:t>
      </w:r>
      <w:r w:rsidRPr="008977AA">
        <w:rPr>
          <w:rFonts w:cs="Times New Roman"/>
        </w:rPr>
        <w:t>e lutte contre la violence à l’égard des femmes/filles</w:t>
      </w:r>
      <w:r w:rsidRPr="008977AA">
        <w:rPr>
          <w:rFonts w:eastAsia="Times New Roman" w:cs="Times New Roman"/>
        </w:rPr>
        <w:t>.</w:t>
      </w:r>
    </w:p>
    <w:p w:rsidR="00302B50" w:rsidRDefault="00302B50" w:rsidP="004C3560">
      <w:pPr>
        <w:autoSpaceDE w:val="0"/>
        <w:autoSpaceDN w:val="0"/>
        <w:adjustRightInd w:val="0"/>
        <w:spacing w:after="0"/>
        <w:jc w:val="both"/>
        <w:rPr>
          <w:rFonts w:cs="Times New Roman"/>
          <w:lang w:bidi="ar-MA"/>
        </w:rPr>
      </w:pPr>
    </w:p>
    <w:p w:rsidR="004C3560" w:rsidRPr="00D73ABA" w:rsidRDefault="000B2C2F" w:rsidP="00AF664F">
      <w:pPr>
        <w:autoSpaceDE w:val="0"/>
        <w:autoSpaceDN w:val="0"/>
        <w:adjustRightInd w:val="0"/>
        <w:spacing w:after="0"/>
        <w:jc w:val="both"/>
        <w:rPr>
          <w:rFonts w:cs="Times New Roman"/>
          <w:bCs/>
        </w:rPr>
      </w:pPr>
      <w:r w:rsidRPr="008977AA">
        <w:rPr>
          <w:rFonts w:cs="Times New Roman"/>
          <w:lang w:bidi="ar-MA"/>
        </w:rPr>
        <w:t>Dans ce cadre,</w:t>
      </w:r>
      <w:r w:rsidRPr="008977AA">
        <w:rPr>
          <w:rFonts w:cs="Times New Roman"/>
          <w:bCs/>
        </w:rPr>
        <w:t xml:space="preserve"> le </w:t>
      </w:r>
      <w:r w:rsidR="00591C55" w:rsidRPr="00591C55">
        <w:rPr>
          <w:rFonts w:cs="Times New Roman"/>
          <w:bCs/>
        </w:rPr>
        <w:t>Ministère de la Famille,</w:t>
      </w:r>
      <w:r w:rsidR="00302B50">
        <w:rPr>
          <w:rFonts w:cs="Times New Roman"/>
          <w:bCs/>
        </w:rPr>
        <w:t xml:space="preserve"> de la</w:t>
      </w:r>
      <w:r w:rsidR="00591C55" w:rsidRPr="00591C55">
        <w:rPr>
          <w:rFonts w:cs="Times New Roman"/>
          <w:bCs/>
        </w:rPr>
        <w:t xml:space="preserve"> </w:t>
      </w:r>
      <w:r w:rsidR="00302B50" w:rsidRPr="00591C55">
        <w:rPr>
          <w:rFonts w:cs="Times New Roman"/>
          <w:bCs/>
        </w:rPr>
        <w:t>Solidarité, de l</w:t>
      </w:r>
      <w:r w:rsidR="00302B50">
        <w:rPr>
          <w:rFonts w:cs="Times New Roman"/>
          <w:bCs/>
        </w:rPr>
        <w:t>’Egalité et</w:t>
      </w:r>
      <w:r w:rsidR="00591C55" w:rsidRPr="00591C55">
        <w:rPr>
          <w:rFonts w:cs="Times New Roman"/>
          <w:bCs/>
        </w:rPr>
        <w:t xml:space="preserve"> du Développement Social, de la Famille </w:t>
      </w:r>
      <w:r w:rsidR="00591C55">
        <w:rPr>
          <w:rFonts w:cs="Times New Roman"/>
          <w:bCs/>
        </w:rPr>
        <w:t>(</w:t>
      </w:r>
      <w:r w:rsidRPr="008977AA">
        <w:rPr>
          <w:rFonts w:cs="Times New Roman"/>
          <w:bCs/>
        </w:rPr>
        <w:t>MF</w:t>
      </w:r>
      <w:r w:rsidR="00AF664F" w:rsidRPr="008977AA">
        <w:rPr>
          <w:rFonts w:cs="Times New Roman"/>
          <w:bCs/>
        </w:rPr>
        <w:t>S</w:t>
      </w:r>
      <w:r w:rsidR="00AF664F">
        <w:rPr>
          <w:rFonts w:cs="Times New Roman"/>
          <w:bCs/>
        </w:rPr>
        <w:t>E</w:t>
      </w:r>
      <w:r w:rsidRPr="008977AA">
        <w:rPr>
          <w:rFonts w:cs="Times New Roman"/>
          <w:bCs/>
        </w:rPr>
        <w:t>DS</w:t>
      </w:r>
      <w:r w:rsidR="00591C55">
        <w:rPr>
          <w:rFonts w:cs="Times New Roman"/>
          <w:bCs/>
        </w:rPr>
        <w:t>)</w:t>
      </w:r>
      <w:r w:rsidRPr="008977AA">
        <w:rPr>
          <w:rFonts w:cs="Times New Roman"/>
          <w:bCs/>
        </w:rPr>
        <w:t xml:space="preserve"> en partenariat avec l’UNFPA, lance un appel à consultation pour le développement</w:t>
      </w:r>
      <w:r w:rsidRPr="00D73ABA">
        <w:rPr>
          <w:rFonts w:cs="Times New Roman"/>
          <w:bCs/>
        </w:rPr>
        <w:t xml:space="preserve"> d’une </w:t>
      </w:r>
      <w:r w:rsidRPr="008977AA">
        <w:rPr>
          <w:rFonts w:cs="Times New Roman"/>
          <w:bCs/>
        </w:rPr>
        <w:t>plateforme stratégique de coordination et de communication entre les différents acteurs institutionnels et ONGs, dans le domaine de lutte contre la violence à l'égard des femmes.</w:t>
      </w:r>
    </w:p>
    <w:p w:rsidR="00302B50" w:rsidRDefault="004C3560" w:rsidP="00302B50">
      <w:pPr>
        <w:autoSpaceDE w:val="0"/>
        <w:autoSpaceDN w:val="0"/>
        <w:adjustRightInd w:val="0"/>
        <w:spacing w:before="240" w:after="0"/>
        <w:jc w:val="both"/>
        <w:rPr>
          <w:rFonts w:cs="Times New Roman"/>
          <w:bCs/>
        </w:rPr>
      </w:pPr>
      <w:r w:rsidRPr="00D73ABA">
        <w:rPr>
          <w:rFonts w:cs="Times New Roman"/>
          <w:bCs/>
        </w:rPr>
        <w:t>Cette consultation s’inscrit dans le cadre de la mise en œuvre du projet : « </w:t>
      </w:r>
      <w:r w:rsidRPr="00591C55">
        <w:rPr>
          <w:rFonts w:cs="Times New Roman"/>
          <w:b/>
        </w:rPr>
        <w:t>Appui au renforcement de la lutte contre la violence à l’égard des femmes et à la disponibilité des services </w:t>
      </w:r>
      <w:r w:rsidRPr="00D73ABA">
        <w:rPr>
          <w:rFonts w:cs="Times New Roman"/>
          <w:bCs/>
        </w:rPr>
        <w:t>»</w:t>
      </w:r>
      <w:r w:rsidR="00DF0D1B" w:rsidRPr="00D73ABA">
        <w:rPr>
          <w:rFonts w:cs="Times New Roman"/>
          <w:bCs/>
        </w:rPr>
        <w:t>, appuyé</w:t>
      </w:r>
      <w:r w:rsidRPr="00D73ABA">
        <w:rPr>
          <w:rFonts w:cs="Times New Roman"/>
          <w:bCs/>
        </w:rPr>
        <w:t xml:space="preserve"> par la </w:t>
      </w:r>
      <w:r w:rsidRPr="00591C55">
        <w:rPr>
          <w:rFonts w:cs="Times New Roman"/>
          <w:b/>
        </w:rPr>
        <w:t>coopération belge</w:t>
      </w:r>
      <w:r w:rsidRPr="00D73ABA">
        <w:rPr>
          <w:rFonts w:cs="Times New Roman"/>
          <w:bCs/>
        </w:rPr>
        <w:t xml:space="preserve"> et mis en </w:t>
      </w:r>
      <w:r w:rsidRPr="00302B50">
        <w:rPr>
          <w:rFonts w:cs="Times New Roman"/>
          <w:bCs/>
        </w:rPr>
        <w:t xml:space="preserve">œuvre </w:t>
      </w:r>
      <w:r w:rsidR="00DF0D1B" w:rsidRPr="00302B50">
        <w:rPr>
          <w:rFonts w:cs="Times New Roman"/>
          <w:bCs/>
        </w:rPr>
        <w:t xml:space="preserve">en partenariat </w:t>
      </w:r>
      <w:r w:rsidR="00302B50">
        <w:rPr>
          <w:rFonts w:cs="Times New Roman"/>
          <w:bCs/>
        </w:rPr>
        <w:t>entre le MFSEDS et</w:t>
      </w:r>
      <w:r w:rsidR="00DF0D1B" w:rsidRPr="00302B50">
        <w:rPr>
          <w:rFonts w:cs="Times New Roman"/>
          <w:bCs/>
        </w:rPr>
        <w:t xml:space="preserve"> </w:t>
      </w:r>
      <w:r w:rsidR="00DF0D1B" w:rsidRPr="00302B50">
        <w:rPr>
          <w:rFonts w:cs="Times New Roman"/>
          <w:bCs/>
          <w:iCs/>
        </w:rPr>
        <w:t>l’UNFPA</w:t>
      </w:r>
      <w:r w:rsidRPr="00D73ABA">
        <w:rPr>
          <w:rFonts w:cs="Times New Roman"/>
          <w:bCs/>
        </w:rPr>
        <w:t xml:space="preserve">. </w:t>
      </w:r>
    </w:p>
    <w:p w:rsidR="007718E7" w:rsidRPr="00302B50" w:rsidRDefault="000B2C2F" w:rsidP="00207FD1">
      <w:pPr>
        <w:pStyle w:val="Heading1"/>
      </w:pPr>
      <w:r w:rsidRPr="00302B50">
        <w:t xml:space="preserve">Objectif et résultats attendus de la </w:t>
      </w:r>
      <w:r w:rsidR="005B7BE4" w:rsidRPr="00302B50">
        <w:t>consultation</w:t>
      </w:r>
    </w:p>
    <w:p w:rsidR="008654E8" w:rsidRPr="008977AA" w:rsidRDefault="008654E8" w:rsidP="008654E8">
      <w:pPr>
        <w:pStyle w:val="ListParagraph"/>
        <w:autoSpaceDE w:val="0"/>
        <w:autoSpaceDN w:val="0"/>
        <w:adjustRightInd w:val="0"/>
        <w:spacing w:after="0" w:line="240" w:lineRule="auto"/>
        <w:ind w:left="360"/>
        <w:jc w:val="both"/>
        <w:rPr>
          <w:rFonts w:cs="Times New Roman"/>
          <w:b/>
          <w:bCs/>
        </w:rPr>
      </w:pPr>
    </w:p>
    <w:p w:rsidR="004A488D" w:rsidRPr="00AF664F" w:rsidRDefault="00B6136A" w:rsidP="00AF664F">
      <w:pPr>
        <w:pStyle w:val="ListParagraph"/>
        <w:numPr>
          <w:ilvl w:val="1"/>
          <w:numId w:val="14"/>
        </w:numPr>
        <w:autoSpaceDE w:val="0"/>
        <w:autoSpaceDN w:val="0"/>
        <w:adjustRightInd w:val="0"/>
        <w:spacing w:after="0" w:line="240" w:lineRule="auto"/>
        <w:jc w:val="both"/>
        <w:rPr>
          <w:rFonts w:cs="Times New Roman"/>
          <w:b/>
        </w:rPr>
      </w:pPr>
      <w:r w:rsidRPr="00AF664F">
        <w:rPr>
          <w:rFonts w:cs="Times New Roman"/>
          <w:b/>
        </w:rPr>
        <w:t xml:space="preserve">Objectif </w:t>
      </w:r>
    </w:p>
    <w:p w:rsidR="00AF664F" w:rsidRPr="008977AA" w:rsidRDefault="00AF664F" w:rsidP="004A488D">
      <w:pPr>
        <w:autoSpaceDE w:val="0"/>
        <w:autoSpaceDN w:val="0"/>
        <w:adjustRightInd w:val="0"/>
        <w:spacing w:after="0" w:line="240" w:lineRule="auto"/>
        <w:ind w:left="360"/>
        <w:jc w:val="both"/>
        <w:rPr>
          <w:rFonts w:cs="Times New Roman"/>
          <w:b/>
        </w:rPr>
      </w:pPr>
    </w:p>
    <w:p w:rsidR="004A488D" w:rsidRPr="008977AA" w:rsidRDefault="00B6136A" w:rsidP="00111D23">
      <w:pPr>
        <w:spacing w:after="0"/>
        <w:jc w:val="both"/>
        <w:rPr>
          <w:rFonts w:cs="Times New Roman"/>
          <w:bCs/>
        </w:rPr>
      </w:pPr>
      <w:r w:rsidRPr="008977AA">
        <w:rPr>
          <w:rFonts w:cs="Times New Roman"/>
          <w:bCs/>
        </w:rPr>
        <w:t>D</w:t>
      </w:r>
      <w:r w:rsidR="004A488D" w:rsidRPr="008977AA">
        <w:rPr>
          <w:rFonts w:cs="Times New Roman"/>
          <w:bCs/>
        </w:rPr>
        <w:t xml:space="preserve">évelopper une </w:t>
      </w:r>
      <w:r w:rsidR="00111D23" w:rsidRPr="008977AA">
        <w:rPr>
          <w:rFonts w:cs="Times New Roman"/>
          <w:bCs/>
        </w:rPr>
        <w:t>plateforme</w:t>
      </w:r>
      <w:r w:rsidR="004A488D" w:rsidRPr="008977AA">
        <w:rPr>
          <w:rFonts w:cs="Times New Roman"/>
          <w:bCs/>
        </w:rPr>
        <w:t xml:space="preserve"> stratégique</w:t>
      </w:r>
      <w:r w:rsidR="00302B50">
        <w:rPr>
          <w:rFonts w:cs="Times New Roman"/>
          <w:bCs/>
        </w:rPr>
        <w:t xml:space="preserve"> </w:t>
      </w:r>
      <w:r w:rsidR="004A488D" w:rsidRPr="008977AA">
        <w:rPr>
          <w:rFonts w:cs="Times New Roman"/>
          <w:bCs/>
        </w:rPr>
        <w:t xml:space="preserve">de coordination entre les acteurs institutionnels et de la société </w:t>
      </w:r>
      <w:r w:rsidR="004A488D" w:rsidRPr="00111D23">
        <w:rPr>
          <w:rFonts w:cs="Times New Roman"/>
        </w:rPr>
        <w:t>civile</w:t>
      </w:r>
      <w:r w:rsidR="004A488D" w:rsidRPr="008977AA">
        <w:rPr>
          <w:rFonts w:cs="Times New Roman"/>
          <w:bCs/>
        </w:rPr>
        <w:t xml:space="preserve"> œuvrant dans le domaine de la </w:t>
      </w:r>
      <w:r w:rsidR="003549E7" w:rsidRPr="008977AA">
        <w:rPr>
          <w:rFonts w:cs="Times New Roman"/>
          <w:bCs/>
        </w:rPr>
        <w:t>lutte contre la violence à l’égard des</w:t>
      </w:r>
      <w:r w:rsidR="004A488D" w:rsidRPr="008977AA">
        <w:rPr>
          <w:rFonts w:cs="Times New Roman"/>
          <w:bCs/>
        </w:rPr>
        <w:t xml:space="preserve"> femmes</w:t>
      </w:r>
      <w:r w:rsidR="00302B50">
        <w:rPr>
          <w:rFonts w:cs="Times New Roman"/>
          <w:bCs/>
        </w:rPr>
        <w:t xml:space="preserve"> </w:t>
      </w:r>
      <w:r w:rsidR="004A488D" w:rsidRPr="008977AA">
        <w:rPr>
          <w:rFonts w:cs="Times New Roman"/>
          <w:bCs/>
        </w:rPr>
        <w:t>y compris un plan d’action de mise en œuvre.</w:t>
      </w:r>
    </w:p>
    <w:p w:rsidR="00721F30" w:rsidRPr="008977AA" w:rsidRDefault="00721F30" w:rsidP="00721F30">
      <w:pPr>
        <w:autoSpaceDE w:val="0"/>
        <w:autoSpaceDN w:val="0"/>
        <w:adjustRightInd w:val="0"/>
        <w:spacing w:after="0" w:line="240" w:lineRule="auto"/>
        <w:jc w:val="both"/>
        <w:rPr>
          <w:rFonts w:cs="Times New Roman"/>
          <w:bCs/>
        </w:rPr>
      </w:pPr>
    </w:p>
    <w:p w:rsidR="004A488D" w:rsidRPr="008977AA" w:rsidRDefault="004A488D" w:rsidP="004A488D">
      <w:pPr>
        <w:ind w:left="360"/>
        <w:rPr>
          <w:rFonts w:cs="Times New Roman"/>
          <w:b/>
          <w:bCs/>
        </w:rPr>
      </w:pPr>
      <w:r w:rsidRPr="008977AA">
        <w:rPr>
          <w:rFonts w:cs="Times New Roman"/>
          <w:b/>
        </w:rPr>
        <w:t xml:space="preserve">2.2 </w:t>
      </w:r>
      <w:r w:rsidRPr="008977AA">
        <w:rPr>
          <w:rFonts w:cs="Times New Roman"/>
          <w:b/>
          <w:bCs/>
        </w:rPr>
        <w:t>Résultats attendus</w:t>
      </w:r>
    </w:p>
    <w:p w:rsidR="00796806" w:rsidRPr="008977AA" w:rsidRDefault="00B6136A" w:rsidP="00E44900">
      <w:pPr>
        <w:pStyle w:val="ListParagraph"/>
        <w:numPr>
          <w:ilvl w:val="0"/>
          <w:numId w:val="10"/>
        </w:numPr>
        <w:autoSpaceDE w:val="0"/>
        <w:autoSpaceDN w:val="0"/>
        <w:adjustRightInd w:val="0"/>
        <w:spacing w:after="0" w:line="240" w:lineRule="auto"/>
        <w:jc w:val="both"/>
        <w:rPr>
          <w:rFonts w:cs="Times New Roman"/>
          <w:bCs/>
        </w:rPr>
      </w:pPr>
      <w:r w:rsidRPr="008977AA">
        <w:rPr>
          <w:rFonts w:cs="Times New Roman"/>
          <w:bCs/>
        </w:rPr>
        <w:t>Une</w:t>
      </w:r>
      <w:r w:rsidR="00302B50">
        <w:rPr>
          <w:rFonts w:cs="Times New Roman"/>
          <w:bCs/>
        </w:rPr>
        <w:t xml:space="preserve"> </w:t>
      </w:r>
      <w:r w:rsidR="00111D23" w:rsidRPr="008977AA">
        <w:rPr>
          <w:rFonts w:cs="Times New Roman"/>
          <w:bCs/>
        </w:rPr>
        <w:t>plateforme</w:t>
      </w:r>
      <w:r w:rsidR="004A488D" w:rsidRPr="008977AA">
        <w:rPr>
          <w:rFonts w:cs="Times New Roman"/>
          <w:bCs/>
        </w:rPr>
        <w:t xml:space="preserve"> stratégique de coordination</w:t>
      </w:r>
      <w:r w:rsidR="00796806" w:rsidRPr="008977AA">
        <w:rPr>
          <w:rFonts w:cs="Times New Roman"/>
          <w:bCs/>
        </w:rPr>
        <w:t xml:space="preserve"> développée et,</w:t>
      </w:r>
    </w:p>
    <w:p w:rsidR="00A47264" w:rsidRPr="008977AA" w:rsidRDefault="00796806" w:rsidP="00E44900">
      <w:pPr>
        <w:pStyle w:val="ListParagraph"/>
        <w:numPr>
          <w:ilvl w:val="0"/>
          <w:numId w:val="10"/>
        </w:numPr>
        <w:autoSpaceDE w:val="0"/>
        <w:autoSpaceDN w:val="0"/>
        <w:adjustRightInd w:val="0"/>
        <w:spacing w:after="0" w:line="240" w:lineRule="auto"/>
        <w:jc w:val="both"/>
        <w:rPr>
          <w:rFonts w:cs="Times New Roman"/>
          <w:bCs/>
        </w:rPr>
      </w:pPr>
      <w:r w:rsidRPr="008977AA">
        <w:rPr>
          <w:rFonts w:cs="Times New Roman"/>
          <w:bCs/>
        </w:rPr>
        <w:t>Un</w:t>
      </w:r>
      <w:r w:rsidR="004A488D" w:rsidRPr="008977AA">
        <w:rPr>
          <w:rFonts w:cs="Times New Roman"/>
          <w:bCs/>
        </w:rPr>
        <w:t xml:space="preserve"> plan d’action</w:t>
      </w:r>
      <w:r w:rsidR="00302B50">
        <w:rPr>
          <w:rFonts w:cs="Times New Roman"/>
          <w:bCs/>
        </w:rPr>
        <w:t xml:space="preserve"> </w:t>
      </w:r>
      <w:r w:rsidRPr="008977AA">
        <w:rPr>
          <w:rFonts w:cs="Times New Roman"/>
          <w:bCs/>
        </w:rPr>
        <w:t xml:space="preserve">de mise en œuvre et suivi de la </w:t>
      </w:r>
      <w:r w:rsidR="00111D23" w:rsidRPr="008977AA">
        <w:rPr>
          <w:rFonts w:cs="Times New Roman"/>
          <w:bCs/>
        </w:rPr>
        <w:t>plateforme</w:t>
      </w:r>
      <w:r w:rsidRPr="008977AA">
        <w:rPr>
          <w:rFonts w:cs="Times New Roman"/>
          <w:bCs/>
        </w:rPr>
        <w:t xml:space="preserve"> de coordination élaboré</w:t>
      </w:r>
      <w:r w:rsidR="00302B50">
        <w:rPr>
          <w:rFonts w:cs="Times New Roman"/>
          <w:bCs/>
        </w:rPr>
        <w:t>.</w:t>
      </w:r>
      <w:r w:rsidRPr="008977AA">
        <w:rPr>
          <w:rFonts w:cs="Times New Roman"/>
          <w:bCs/>
        </w:rPr>
        <w:t xml:space="preserve"> </w:t>
      </w:r>
    </w:p>
    <w:p w:rsidR="004A5DD3" w:rsidRPr="008977AA" w:rsidRDefault="004A5DD3" w:rsidP="00751D4D">
      <w:pPr>
        <w:autoSpaceDE w:val="0"/>
        <w:autoSpaceDN w:val="0"/>
        <w:adjustRightInd w:val="0"/>
        <w:spacing w:after="0" w:line="240" w:lineRule="auto"/>
        <w:jc w:val="both"/>
        <w:rPr>
          <w:rFonts w:cs="Times New Roman"/>
          <w:b/>
          <w:bCs/>
        </w:rPr>
      </w:pPr>
    </w:p>
    <w:p w:rsidR="00A47264" w:rsidRPr="00832895" w:rsidRDefault="000B2C2F" w:rsidP="00207FD1">
      <w:pPr>
        <w:pStyle w:val="Heading1"/>
      </w:pPr>
      <w:r w:rsidRPr="00832895">
        <w:t>Tâches du consultant/e ou bureau d’études</w:t>
      </w:r>
    </w:p>
    <w:p w:rsidR="00A47264" w:rsidRPr="008977AA" w:rsidRDefault="00A47264">
      <w:pPr>
        <w:spacing w:after="0"/>
        <w:jc w:val="both"/>
        <w:rPr>
          <w:rFonts w:cs="Times New Roman"/>
        </w:rPr>
      </w:pPr>
    </w:p>
    <w:p w:rsidR="00A47264" w:rsidRPr="008977AA" w:rsidRDefault="008C39C3">
      <w:pPr>
        <w:spacing w:after="0"/>
        <w:jc w:val="both"/>
        <w:rPr>
          <w:rFonts w:cs="Times New Roman"/>
        </w:rPr>
      </w:pPr>
      <w:r w:rsidRPr="008977AA">
        <w:rPr>
          <w:rFonts w:cs="Times New Roman"/>
        </w:rPr>
        <w:t>Le/la consultante</w:t>
      </w:r>
      <w:r w:rsidR="00302B50">
        <w:rPr>
          <w:rFonts w:cs="Times New Roman"/>
        </w:rPr>
        <w:t xml:space="preserve">/bureau d’études </w:t>
      </w:r>
      <w:r w:rsidRPr="008977AA">
        <w:rPr>
          <w:rFonts w:cs="Times New Roman"/>
        </w:rPr>
        <w:t xml:space="preserve"> travaillera en étroite collaboration avec le Comité technique du Programme constitué du Ministère de la Solidarité, de la Femme, de la Famille,</w:t>
      </w:r>
      <w:r w:rsidR="00302B50">
        <w:rPr>
          <w:rFonts w:cs="Times New Roman"/>
        </w:rPr>
        <w:t xml:space="preserve"> </w:t>
      </w:r>
      <w:r w:rsidRPr="008977AA">
        <w:rPr>
          <w:rFonts w:cs="Times New Roman"/>
        </w:rPr>
        <w:t xml:space="preserve">et du Développement Social, de la Famille et de l’UNFPA. </w:t>
      </w:r>
    </w:p>
    <w:p w:rsidR="00302B50" w:rsidRDefault="00302B50">
      <w:pPr>
        <w:spacing w:after="0" w:line="240" w:lineRule="auto"/>
        <w:jc w:val="both"/>
        <w:rPr>
          <w:rFonts w:cs="Times New Roman"/>
        </w:rPr>
      </w:pPr>
    </w:p>
    <w:p w:rsidR="00A47264" w:rsidRPr="008977AA" w:rsidRDefault="000B2C2F">
      <w:pPr>
        <w:spacing w:after="0" w:line="240" w:lineRule="auto"/>
        <w:jc w:val="both"/>
        <w:rPr>
          <w:rFonts w:cs="Times New Roman"/>
        </w:rPr>
      </w:pPr>
      <w:r w:rsidRPr="008977AA">
        <w:rPr>
          <w:rFonts w:cs="Times New Roman"/>
        </w:rPr>
        <w:t xml:space="preserve">La consultation sera menée selon les </w:t>
      </w:r>
      <w:r w:rsidR="00796806" w:rsidRPr="008977AA">
        <w:rPr>
          <w:rFonts w:cs="Times New Roman"/>
        </w:rPr>
        <w:t xml:space="preserve">principales </w:t>
      </w:r>
      <w:r w:rsidRPr="008977AA">
        <w:rPr>
          <w:rFonts w:cs="Times New Roman"/>
        </w:rPr>
        <w:t>étapes </w:t>
      </w:r>
      <w:r w:rsidR="00111D23" w:rsidRPr="008977AA">
        <w:rPr>
          <w:rFonts w:cs="Times New Roman"/>
        </w:rPr>
        <w:t>suivantes :</w:t>
      </w:r>
    </w:p>
    <w:p w:rsidR="00796806" w:rsidRPr="008977AA" w:rsidRDefault="00796806">
      <w:pPr>
        <w:spacing w:after="0" w:line="240" w:lineRule="auto"/>
        <w:jc w:val="both"/>
        <w:rPr>
          <w:rFonts w:cs="Times New Roman"/>
          <w:b/>
          <w:bCs/>
          <w:u w:val="single"/>
        </w:rPr>
      </w:pPr>
    </w:p>
    <w:p w:rsidR="00A47264" w:rsidRPr="008977AA" w:rsidRDefault="000B2C2F" w:rsidP="00302B50">
      <w:pPr>
        <w:spacing w:after="0" w:line="240" w:lineRule="auto"/>
        <w:jc w:val="both"/>
        <w:rPr>
          <w:rFonts w:cs="Times New Roman"/>
          <w:b/>
          <w:bCs/>
          <w:u w:val="single"/>
        </w:rPr>
      </w:pPr>
      <w:r w:rsidRPr="008977AA">
        <w:rPr>
          <w:rFonts w:cs="Times New Roman"/>
          <w:b/>
          <w:bCs/>
          <w:u w:val="single"/>
        </w:rPr>
        <w:t>Etape 1 </w:t>
      </w:r>
      <w:r w:rsidRPr="008977AA">
        <w:rPr>
          <w:rFonts w:cs="Times New Roman"/>
          <w:b/>
          <w:bCs/>
        </w:rPr>
        <w:t xml:space="preserve">: </w:t>
      </w:r>
      <w:r w:rsidR="004A488D" w:rsidRPr="008977AA">
        <w:rPr>
          <w:rFonts w:cs="Times New Roman"/>
          <w:b/>
          <w:bCs/>
          <w:u w:val="single"/>
        </w:rPr>
        <w:t>Analyse de la situation : constat, forces et faiblesses</w:t>
      </w:r>
    </w:p>
    <w:p w:rsidR="00A47264" w:rsidRPr="008977AA" w:rsidRDefault="002D11EC" w:rsidP="00E44900">
      <w:pPr>
        <w:numPr>
          <w:ilvl w:val="0"/>
          <w:numId w:val="13"/>
        </w:numPr>
        <w:spacing w:after="0" w:line="240" w:lineRule="auto"/>
        <w:jc w:val="both"/>
        <w:rPr>
          <w:rFonts w:cs="Times New Roman"/>
          <w:bCs/>
          <w:u w:val="single"/>
        </w:rPr>
      </w:pPr>
      <w:r w:rsidRPr="00591C55">
        <w:rPr>
          <w:rFonts w:eastAsia="Times New Roman" w:cs="Times New Roman"/>
        </w:rPr>
        <w:t>Etude</w:t>
      </w:r>
      <w:r w:rsidRPr="008977AA">
        <w:rPr>
          <w:rFonts w:cs="Times New Roman"/>
          <w:bCs/>
        </w:rPr>
        <w:t xml:space="preserve"> documentaire analytique des</w:t>
      </w:r>
      <w:r w:rsidR="000B2C2F" w:rsidRPr="008977AA">
        <w:rPr>
          <w:rFonts w:cs="Times New Roman"/>
          <w:bCs/>
        </w:rPr>
        <w:t xml:space="preserve"> documents et supports (études, recherches, rapports</w:t>
      </w:r>
      <w:r w:rsidR="00F76998" w:rsidRPr="008977AA">
        <w:rPr>
          <w:rFonts w:cs="Times New Roman"/>
          <w:bCs/>
        </w:rPr>
        <w:t>, lignes directrices pour la coordination et la gouvernance de la coordination des services essentiels</w:t>
      </w:r>
      <w:r w:rsidR="000B2C2F" w:rsidRPr="008977AA">
        <w:rPr>
          <w:rFonts w:cs="Times New Roman"/>
          <w:bCs/>
        </w:rPr>
        <w:t xml:space="preserve"> etc…)</w:t>
      </w:r>
      <w:r w:rsidR="00F76998" w:rsidRPr="008977AA">
        <w:rPr>
          <w:rFonts w:cs="Times New Roman"/>
          <w:bCs/>
        </w:rPr>
        <w:t>.</w:t>
      </w:r>
    </w:p>
    <w:p w:rsidR="00A47264" w:rsidRPr="008977AA" w:rsidRDefault="00D87205" w:rsidP="00E44900">
      <w:pPr>
        <w:numPr>
          <w:ilvl w:val="0"/>
          <w:numId w:val="13"/>
        </w:numPr>
        <w:spacing w:after="0" w:line="240" w:lineRule="auto"/>
        <w:jc w:val="both"/>
        <w:rPr>
          <w:rFonts w:cs="Times New Roman"/>
          <w:bCs/>
        </w:rPr>
      </w:pPr>
      <w:r w:rsidRPr="008977AA">
        <w:rPr>
          <w:rFonts w:cs="Times New Roman"/>
          <w:bCs/>
        </w:rPr>
        <w:t>Travail de terrain : e</w:t>
      </w:r>
      <w:r w:rsidR="000B2C2F" w:rsidRPr="008977AA">
        <w:rPr>
          <w:rFonts w:cs="Times New Roman"/>
          <w:bCs/>
        </w:rPr>
        <w:t>ntretiens</w:t>
      </w:r>
      <w:r w:rsidRPr="008977AA">
        <w:rPr>
          <w:rFonts w:cs="Times New Roman"/>
          <w:bCs/>
        </w:rPr>
        <w:t>/grille d’investigation</w:t>
      </w:r>
      <w:r w:rsidR="000B2C2F" w:rsidRPr="008977AA">
        <w:rPr>
          <w:rFonts w:cs="Times New Roman"/>
          <w:bCs/>
        </w:rPr>
        <w:t xml:space="preserve"> avec les responsables et personnes ressources des institutions partenaires </w:t>
      </w:r>
      <w:r w:rsidR="00AC6434" w:rsidRPr="008977AA">
        <w:rPr>
          <w:rFonts w:cs="Times New Roman"/>
          <w:bCs/>
        </w:rPr>
        <w:t>concernées (</w:t>
      </w:r>
      <w:r w:rsidR="000B2C2F" w:rsidRPr="008977AA">
        <w:rPr>
          <w:rFonts w:cs="Times New Roman"/>
          <w:bCs/>
        </w:rPr>
        <w:t>niveau national et régional)</w:t>
      </w:r>
      <w:r w:rsidR="00F76998" w:rsidRPr="008977AA">
        <w:rPr>
          <w:rFonts w:cs="Times New Roman"/>
          <w:bCs/>
        </w:rPr>
        <w:t>.</w:t>
      </w:r>
    </w:p>
    <w:p w:rsidR="00796806" w:rsidRPr="008977AA" w:rsidRDefault="00796806">
      <w:pPr>
        <w:pStyle w:val="ListParagraph"/>
        <w:spacing w:after="0" w:line="240" w:lineRule="auto"/>
        <w:ind w:left="360"/>
        <w:rPr>
          <w:rFonts w:cs="Times New Roman"/>
          <w:b/>
          <w:u w:val="single"/>
        </w:rPr>
      </w:pPr>
    </w:p>
    <w:p w:rsidR="00A47264" w:rsidRPr="008977AA" w:rsidRDefault="000B2C2F" w:rsidP="00302B50">
      <w:pPr>
        <w:pStyle w:val="ListParagraph"/>
        <w:spacing w:after="0" w:line="240" w:lineRule="auto"/>
        <w:ind w:left="0"/>
        <w:jc w:val="both"/>
        <w:rPr>
          <w:rFonts w:cs="Times New Roman"/>
          <w:b/>
          <w:bCs/>
        </w:rPr>
      </w:pPr>
      <w:r w:rsidRPr="008977AA">
        <w:rPr>
          <w:rFonts w:cs="Times New Roman"/>
          <w:b/>
          <w:u w:val="single"/>
        </w:rPr>
        <w:t>Etape 2</w:t>
      </w:r>
      <w:r w:rsidR="002D11EC" w:rsidRPr="008977AA">
        <w:rPr>
          <w:rFonts w:cs="Times New Roman"/>
          <w:b/>
          <w:u w:val="single"/>
        </w:rPr>
        <w:t> </w:t>
      </w:r>
      <w:r w:rsidR="004A488D" w:rsidRPr="008977AA">
        <w:rPr>
          <w:rFonts w:cs="Times New Roman"/>
          <w:b/>
        </w:rPr>
        <w:t>: </w:t>
      </w:r>
      <w:r w:rsidR="00B6136A" w:rsidRPr="008977AA">
        <w:rPr>
          <w:rFonts w:cs="Times New Roman"/>
          <w:b/>
          <w:u w:val="single"/>
        </w:rPr>
        <w:t>D</w:t>
      </w:r>
      <w:r w:rsidR="004A488D" w:rsidRPr="008977AA">
        <w:rPr>
          <w:rFonts w:cs="Times New Roman"/>
          <w:b/>
          <w:bCs/>
          <w:u w:val="single"/>
        </w:rPr>
        <w:t xml:space="preserve">éfinition du cadre institutionnel et d’intervention </w:t>
      </w:r>
      <w:r w:rsidR="00591C55" w:rsidRPr="008977AA">
        <w:rPr>
          <w:rFonts w:cs="Times New Roman"/>
          <w:b/>
          <w:bCs/>
          <w:u w:val="single"/>
        </w:rPr>
        <w:t>fonctionnel</w:t>
      </w:r>
      <w:r w:rsidR="00591C55">
        <w:rPr>
          <w:rFonts w:cs="Times New Roman"/>
          <w:b/>
          <w:bCs/>
          <w:u w:val="single"/>
        </w:rPr>
        <w:t>le</w:t>
      </w:r>
      <w:r w:rsidR="00302B50">
        <w:rPr>
          <w:rFonts w:cs="Times New Roman"/>
          <w:b/>
          <w:bCs/>
          <w:u w:val="single"/>
        </w:rPr>
        <w:t xml:space="preserve"> </w:t>
      </w:r>
      <w:r w:rsidR="00AC6434" w:rsidRPr="008977AA">
        <w:rPr>
          <w:rFonts w:cs="Times New Roman"/>
          <w:b/>
          <w:bCs/>
          <w:u w:val="single"/>
        </w:rPr>
        <w:t>selon une</w:t>
      </w:r>
      <w:r w:rsidR="004A488D" w:rsidRPr="008977AA">
        <w:rPr>
          <w:rFonts w:cs="Times New Roman"/>
          <w:b/>
          <w:bCs/>
          <w:u w:val="single"/>
        </w:rPr>
        <w:t xml:space="preserve"> approche</w:t>
      </w:r>
      <w:r w:rsidR="00302B50">
        <w:rPr>
          <w:rFonts w:cs="Times New Roman"/>
          <w:b/>
          <w:bCs/>
          <w:u w:val="single"/>
        </w:rPr>
        <w:t xml:space="preserve"> </w:t>
      </w:r>
      <w:r w:rsidR="004A488D" w:rsidRPr="008977AA">
        <w:rPr>
          <w:rFonts w:cs="Times New Roman"/>
          <w:b/>
          <w:bCs/>
          <w:u w:val="single"/>
        </w:rPr>
        <w:t>multisectorielle, et déclinée au niveau stratégique, et opérationnel (</w:t>
      </w:r>
      <w:r w:rsidR="00BB52FE">
        <w:rPr>
          <w:rFonts w:cs="Times New Roman"/>
          <w:b/>
          <w:bCs/>
          <w:u w:val="single"/>
        </w:rPr>
        <w:t>national,</w:t>
      </w:r>
      <w:r w:rsidR="00BB52FE" w:rsidRPr="008977AA">
        <w:rPr>
          <w:rFonts w:cs="Times New Roman"/>
          <w:b/>
          <w:bCs/>
          <w:u w:val="single"/>
        </w:rPr>
        <w:t xml:space="preserve"> régional</w:t>
      </w:r>
      <w:r w:rsidR="004A488D" w:rsidRPr="008977AA">
        <w:rPr>
          <w:rFonts w:cs="Times New Roman"/>
          <w:b/>
          <w:bCs/>
          <w:u w:val="single"/>
        </w:rPr>
        <w:t xml:space="preserve"> et local), qui mettra en évidence les résultats des éléments d’investigation </w:t>
      </w:r>
      <w:r w:rsidR="00111D23" w:rsidRPr="008977AA">
        <w:rPr>
          <w:rFonts w:cs="Times New Roman"/>
          <w:b/>
          <w:bCs/>
          <w:u w:val="single"/>
        </w:rPr>
        <w:t>suivants</w:t>
      </w:r>
      <w:r w:rsidR="00111D23" w:rsidRPr="008977AA">
        <w:rPr>
          <w:rFonts w:cs="Times New Roman"/>
          <w:b/>
          <w:bCs/>
        </w:rPr>
        <w:t> :</w:t>
      </w:r>
    </w:p>
    <w:p w:rsidR="004A488D" w:rsidRPr="008977AA" w:rsidRDefault="000B2C2F" w:rsidP="00E44900">
      <w:pPr>
        <w:pStyle w:val="ListParagraph"/>
        <w:numPr>
          <w:ilvl w:val="0"/>
          <w:numId w:val="13"/>
        </w:numPr>
        <w:spacing w:after="0" w:line="240" w:lineRule="auto"/>
        <w:rPr>
          <w:rFonts w:cs="Times New Roman"/>
        </w:rPr>
      </w:pPr>
      <w:r w:rsidRPr="008977AA">
        <w:rPr>
          <w:rFonts w:eastAsia="Times New Roman" w:cs="Times New Roman"/>
        </w:rPr>
        <w:t xml:space="preserve">Analyse stratégique </w:t>
      </w:r>
      <w:r w:rsidR="00302B50">
        <w:rPr>
          <w:rFonts w:eastAsia="Times New Roman" w:cs="Times New Roman"/>
        </w:rPr>
        <w:t xml:space="preserve">et opérationnelle </w:t>
      </w:r>
      <w:r w:rsidRPr="008977AA">
        <w:rPr>
          <w:rFonts w:eastAsia="Times New Roman" w:cs="Times New Roman"/>
        </w:rPr>
        <w:t>au niveau institutionnel</w:t>
      </w:r>
      <w:r w:rsidRPr="008977AA">
        <w:rPr>
          <w:rFonts w:cs="Times New Roman"/>
        </w:rPr>
        <w:t> : acteurs opérationnels et potentiels</w:t>
      </w:r>
      <w:r w:rsidR="00302B50">
        <w:rPr>
          <w:rFonts w:cs="Times New Roman"/>
        </w:rPr>
        <w:t xml:space="preserve"> et associatifs</w:t>
      </w:r>
    </w:p>
    <w:p w:rsidR="004A488D" w:rsidRPr="008977AA" w:rsidRDefault="000B2C2F" w:rsidP="00E44900">
      <w:pPr>
        <w:numPr>
          <w:ilvl w:val="0"/>
          <w:numId w:val="13"/>
        </w:numPr>
        <w:spacing w:after="0" w:line="240" w:lineRule="auto"/>
        <w:jc w:val="both"/>
        <w:rPr>
          <w:rFonts w:eastAsia="Times New Roman" w:cs="Times New Roman"/>
          <w:bCs/>
          <w:u w:val="single"/>
        </w:rPr>
      </w:pPr>
      <w:r w:rsidRPr="008977AA">
        <w:rPr>
          <w:rFonts w:eastAsia="Times New Roman" w:cs="Times New Roman"/>
        </w:rPr>
        <w:t>Définition et détermination</w:t>
      </w:r>
      <w:r w:rsidR="00F76998" w:rsidRPr="008977AA">
        <w:rPr>
          <w:rFonts w:eastAsia="Times New Roman" w:cs="Times New Roman"/>
        </w:rPr>
        <w:t xml:space="preserve"> : </w:t>
      </w:r>
      <w:r w:rsidR="00591C55" w:rsidRPr="008977AA">
        <w:rPr>
          <w:rFonts w:eastAsia="Times New Roman" w:cs="Times New Roman"/>
        </w:rPr>
        <w:t>normes, vision, principes généraux et objectifs stratégiques de la plateforme stratégique de coordination</w:t>
      </w:r>
    </w:p>
    <w:p w:rsidR="004A488D" w:rsidRPr="008977AA" w:rsidRDefault="00507641" w:rsidP="00E44900">
      <w:pPr>
        <w:numPr>
          <w:ilvl w:val="0"/>
          <w:numId w:val="13"/>
        </w:numPr>
        <w:spacing w:after="0" w:line="240" w:lineRule="auto"/>
        <w:jc w:val="both"/>
        <w:rPr>
          <w:rFonts w:eastAsia="Times New Roman" w:cs="Times New Roman"/>
          <w:bCs/>
          <w:u w:val="single"/>
        </w:rPr>
      </w:pPr>
      <w:r w:rsidRPr="008977AA">
        <w:rPr>
          <w:rFonts w:eastAsia="Times New Roman" w:cs="Times New Roman"/>
        </w:rPr>
        <w:t xml:space="preserve">Déclinaison des </w:t>
      </w:r>
      <w:r w:rsidR="00591C55" w:rsidRPr="008977AA">
        <w:rPr>
          <w:rFonts w:eastAsia="Times New Roman" w:cs="Times New Roman"/>
        </w:rPr>
        <w:t xml:space="preserve">objectifs </w:t>
      </w:r>
      <w:r w:rsidR="000B2C2F" w:rsidRPr="008977AA">
        <w:rPr>
          <w:rFonts w:eastAsia="Times New Roman" w:cs="Times New Roman"/>
        </w:rPr>
        <w:t>stratégiques</w:t>
      </w:r>
    </w:p>
    <w:p w:rsidR="004A488D" w:rsidRPr="008977AA" w:rsidRDefault="00A47264" w:rsidP="00E44900">
      <w:pPr>
        <w:numPr>
          <w:ilvl w:val="0"/>
          <w:numId w:val="13"/>
        </w:numPr>
        <w:spacing w:after="0" w:line="240" w:lineRule="auto"/>
        <w:jc w:val="both"/>
        <w:rPr>
          <w:rFonts w:eastAsia="Times New Roman" w:cs="Times New Roman"/>
          <w:bCs/>
          <w:u w:val="single"/>
        </w:rPr>
      </w:pPr>
      <w:r w:rsidRPr="008977AA">
        <w:rPr>
          <w:rFonts w:eastAsia="Times New Roman" w:cs="Times New Roman"/>
        </w:rPr>
        <w:lastRenderedPageBreak/>
        <w:t>Identification/clarification du rôle et m</w:t>
      </w:r>
      <w:r w:rsidR="002D11EC" w:rsidRPr="008977AA">
        <w:rPr>
          <w:rFonts w:eastAsia="Times New Roman" w:cs="Times New Roman"/>
        </w:rPr>
        <w:t>issions</w:t>
      </w:r>
      <w:r w:rsidRPr="008977AA">
        <w:rPr>
          <w:rFonts w:eastAsia="Times New Roman" w:cs="Times New Roman"/>
        </w:rPr>
        <w:t xml:space="preserve"> et interventions clés</w:t>
      </w:r>
      <w:r w:rsidR="000B2C2F" w:rsidRPr="008977AA">
        <w:rPr>
          <w:rFonts w:eastAsia="Times New Roman" w:cs="Times New Roman"/>
        </w:rPr>
        <w:t xml:space="preserve"> des acteurs ins</w:t>
      </w:r>
      <w:r w:rsidR="000B2C2F" w:rsidRPr="008977AA">
        <w:rPr>
          <w:rFonts w:eastAsia="Times New Roman" w:cs="Times New Roman"/>
          <w:bCs/>
          <w:u w:val="single"/>
        </w:rPr>
        <w:t>t</w:t>
      </w:r>
      <w:r w:rsidR="000B2C2F" w:rsidRPr="008977AA">
        <w:rPr>
          <w:rFonts w:eastAsia="Times New Roman" w:cs="Times New Roman"/>
        </w:rPr>
        <w:t xml:space="preserve">itutionnels et associatifs plateforme de stratégique de </w:t>
      </w:r>
      <w:r w:rsidR="002D11EC" w:rsidRPr="008977AA">
        <w:rPr>
          <w:rFonts w:eastAsia="Times New Roman" w:cs="Times New Roman"/>
        </w:rPr>
        <w:t>coordination</w:t>
      </w:r>
      <w:r w:rsidRPr="008977AA">
        <w:rPr>
          <w:rFonts w:eastAsia="Times New Roman" w:cs="Times New Roman"/>
        </w:rPr>
        <w:t xml:space="preserve"> des différents impliqués (cartographie/mapping)</w:t>
      </w:r>
    </w:p>
    <w:p w:rsidR="004A488D" w:rsidRPr="008977AA" w:rsidRDefault="00A47264" w:rsidP="00E44900">
      <w:pPr>
        <w:pStyle w:val="ListParagraph"/>
        <w:numPr>
          <w:ilvl w:val="0"/>
          <w:numId w:val="13"/>
        </w:numPr>
        <w:spacing w:after="0" w:line="240" w:lineRule="auto"/>
        <w:jc w:val="both"/>
        <w:rPr>
          <w:rFonts w:eastAsia="Times New Roman" w:cs="Times New Roman"/>
        </w:rPr>
      </w:pPr>
      <w:r w:rsidRPr="008977AA">
        <w:rPr>
          <w:rFonts w:eastAsia="Times New Roman" w:cs="Times New Roman"/>
        </w:rPr>
        <w:t>Identification des m</w:t>
      </w:r>
      <w:r w:rsidR="000B2C2F" w:rsidRPr="008977AA">
        <w:rPr>
          <w:rFonts w:eastAsia="Times New Roman" w:cs="Times New Roman"/>
        </w:rPr>
        <w:t>écanismes</w:t>
      </w:r>
      <w:r w:rsidR="00F76998" w:rsidRPr="008977AA">
        <w:rPr>
          <w:rFonts w:eastAsia="Times New Roman" w:cs="Times New Roman"/>
        </w:rPr>
        <w:t xml:space="preserve"> fonctionnels des actions</w:t>
      </w:r>
      <w:r w:rsidR="00AA2C6B">
        <w:rPr>
          <w:rFonts w:eastAsia="Times New Roman" w:cs="Times New Roman" w:hint="cs"/>
          <w:rtl/>
        </w:rPr>
        <w:t xml:space="preserve"> </w:t>
      </w:r>
      <w:r w:rsidR="000B2C2F" w:rsidRPr="008977AA">
        <w:rPr>
          <w:rFonts w:eastAsia="Times New Roman" w:cs="Times New Roman"/>
        </w:rPr>
        <w:t>(national, régional/local</w:t>
      </w:r>
      <w:r w:rsidR="00111D23" w:rsidRPr="008977AA">
        <w:rPr>
          <w:rFonts w:eastAsia="Times New Roman" w:cs="Times New Roman"/>
        </w:rPr>
        <w:t>) :</w:t>
      </w:r>
      <w:r w:rsidR="000B2C2F" w:rsidRPr="008977AA">
        <w:rPr>
          <w:rFonts w:eastAsia="Times New Roman" w:cs="Times New Roman"/>
        </w:rPr>
        <w:t>rôle et missions</w:t>
      </w:r>
      <w:r w:rsidR="00F76998" w:rsidRPr="008977AA">
        <w:rPr>
          <w:rFonts w:eastAsia="Times New Roman" w:cs="Times New Roman"/>
        </w:rPr>
        <w:t xml:space="preserve"> des parties prenantes</w:t>
      </w:r>
    </w:p>
    <w:p w:rsidR="004A488D" w:rsidRPr="008977AA" w:rsidRDefault="002D11EC" w:rsidP="00E44900">
      <w:pPr>
        <w:pStyle w:val="ListParagraph"/>
        <w:numPr>
          <w:ilvl w:val="0"/>
          <w:numId w:val="13"/>
        </w:numPr>
        <w:spacing w:after="0" w:line="240" w:lineRule="auto"/>
        <w:jc w:val="both"/>
        <w:rPr>
          <w:rFonts w:eastAsia="Times New Roman" w:cs="Times New Roman"/>
        </w:rPr>
      </w:pPr>
      <w:r w:rsidRPr="008977AA">
        <w:rPr>
          <w:rFonts w:eastAsia="Times New Roman" w:cs="Times New Roman"/>
        </w:rPr>
        <w:t xml:space="preserve">Niveaux de référence, </w:t>
      </w:r>
      <w:r w:rsidR="00065436" w:rsidRPr="008977AA">
        <w:rPr>
          <w:rFonts w:eastAsia="Times New Roman" w:cs="Times New Roman"/>
        </w:rPr>
        <w:t>interactions/</w:t>
      </w:r>
      <w:r w:rsidRPr="008977AA">
        <w:rPr>
          <w:rFonts w:eastAsia="Times New Roman" w:cs="Times New Roman"/>
        </w:rPr>
        <w:t>liaison et moyens de communication</w:t>
      </w:r>
      <w:r w:rsidR="00796806" w:rsidRPr="008977AA">
        <w:rPr>
          <w:rFonts w:eastAsia="Times New Roman" w:cs="Times New Roman"/>
        </w:rPr>
        <w:t xml:space="preserve"> aux différents niveaux d’intervention</w:t>
      </w:r>
    </w:p>
    <w:p w:rsidR="004A488D" w:rsidRPr="008977AA" w:rsidRDefault="00B6136A" w:rsidP="00E44900">
      <w:pPr>
        <w:pStyle w:val="ListParagraph"/>
        <w:numPr>
          <w:ilvl w:val="0"/>
          <w:numId w:val="13"/>
        </w:numPr>
        <w:spacing w:after="0" w:line="240" w:lineRule="auto"/>
        <w:jc w:val="both"/>
        <w:rPr>
          <w:rFonts w:eastAsia="Times New Roman" w:cs="Times New Roman"/>
          <w:b/>
          <w:u w:val="single"/>
        </w:rPr>
      </w:pPr>
      <w:r w:rsidRPr="008977AA">
        <w:rPr>
          <w:rFonts w:eastAsia="Times New Roman" w:cs="Times New Roman"/>
        </w:rPr>
        <w:t xml:space="preserve">Schéma/cadre organisationnel et fonctionnel </w:t>
      </w:r>
      <w:r w:rsidR="004A488D" w:rsidRPr="008977AA">
        <w:rPr>
          <w:rFonts w:eastAsia="Times New Roman" w:cs="Times New Roman"/>
        </w:rPr>
        <w:t xml:space="preserve">de la plateforme stratégique de coordination </w:t>
      </w:r>
    </w:p>
    <w:p w:rsidR="004A488D" w:rsidRPr="008977AA" w:rsidRDefault="004A488D" w:rsidP="004A488D">
      <w:pPr>
        <w:spacing w:after="0" w:line="240" w:lineRule="auto"/>
        <w:ind w:left="720"/>
        <w:jc w:val="both"/>
        <w:rPr>
          <w:rFonts w:eastAsia="Times New Roman" w:cs="Times New Roman"/>
          <w:b/>
          <w:u w:val="single"/>
        </w:rPr>
      </w:pPr>
    </w:p>
    <w:p w:rsidR="004A488D" w:rsidRPr="008977AA" w:rsidRDefault="004A488D" w:rsidP="00F23140">
      <w:pPr>
        <w:spacing w:after="0" w:line="240" w:lineRule="auto"/>
        <w:jc w:val="both"/>
        <w:rPr>
          <w:rFonts w:cs="Times New Roman"/>
          <w:b/>
        </w:rPr>
      </w:pPr>
      <w:r w:rsidRPr="008977AA">
        <w:rPr>
          <w:rFonts w:eastAsia="Times New Roman" w:cs="Times New Roman"/>
          <w:b/>
          <w:u w:val="single"/>
        </w:rPr>
        <w:t>Etape 3 </w:t>
      </w:r>
      <w:r w:rsidRPr="008977AA">
        <w:rPr>
          <w:rFonts w:eastAsia="Times New Roman" w:cs="Times New Roman"/>
          <w:b/>
        </w:rPr>
        <w:t xml:space="preserve">: </w:t>
      </w:r>
      <w:r w:rsidRPr="008977AA">
        <w:rPr>
          <w:rFonts w:eastAsia="Times New Roman" w:cs="Times New Roman"/>
          <w:b/>
          <w:u w:val="single"/>
        </w:rPr>
        <w:t>Elaboration du Plan d’action</w:t>
      </w:r>
      <w:r w:rsidRPr="008977AA">
        <w:rPr>
          <w:rFonts w:cs="Times New Roman"/>
          <w:b/>
          <w:u w:val="single"/>
        </w:rPr>
        <w:t xml:space="preserve"> sur la base des résultats des Etapes 1 et 2 intégrant</w:t>
      </w:r>
      <w:r w:rsidR="00065436" w:rsidRPr="008977AA">
        <w:rPr>
          <w:rFonts w:cs="Times New Roman"/>
          <w:b/>
        </w:rPr>
        <w:t> :</w:t>
      </w:r>
    </w:p>
    <w:p w:rsidR="004A488D" w:rsidRPr="008977AA" w:rsidRDefault="004A488D" w:rsidP="00E44900">
      <w:pPr>
        <w:pStyle w:val="ListParagraph"/>
        <w:numPr>
          <w:ilvl w:val="0"/>
          <w:numId w:val="11"/>
        </w:numPr>
        <w:spacing w:after="0" w:line="240" w:lineRule="auto"/>
        <w:jc w:val="both"/>
        <w:rPr>
          <w:rFonts w:cs="Times New Roman"/>
        </w:rPr>
      </w:pPr>
      <w:r w:rsidRPr="008977AA">
        <w:rPr>
          <w:rFonts w:eastAsia="Times New Roman" w:cs="Times New Roman"/>
        </w:rPr>
        <w:t xml:space="preserve">Les </w:t>
      </w:r>
      <w:r w:rsidR="00F23140">
        <w:rPr>
          <w:rFonts w:eastAsia="Times New Roman" w:cs="Times New Roman"/>
        </w:rPr>
        <w:t xml:space="preserve">objectifs stratégiques identifiés, les </w:t>
      </w:r>
      <w:r w:rsidRPr="008977AA">
        <w:rPr>
          <w:rFonts w:eastAsia="Times New Roman" w:cs="Times New Roman"/>
        </w:rPr>
        <w:t xml:space="preserve">résultats attendus, </w:t>
      </w:r>
      <w:r w:rsidR="00065436" w:rsidRPr="008977AA">
        <w:rPr>
          <w:rFonts w:eastAsia="Times New Roman" w:cs="Times New Roman"/>
        </w:rPr>
        <w:t>les interventions clés des partenaires impliqués,</w:t>
      </w:r>
      <w:r w:rsidR="00065436" w:rsidRPr="008977AA">
        <w:rPr>
          <w:rFonts w:eastAsia="Calibri" w:cs="Times New Roman"/>
        </w:rPr>
        <w:t xml:space="preserve"> les indicateurs de suivi et évaluation</w:t>
      </w:r>
      <w:r w:rsidR="00595816" w:rsidRPr="008977AA">
        <w:rPr>
          <w:rFonts w:eastAsia="Calibri" w:cs="Times New Roman"/>
        </w:rPr>
        <w:t>.</w:t>
      </w:r>
    </w:p>
    <w:p w:rsidR="004A488D" w:rsidRPr="008977AA" w:rsidRDefault="004A488D" w:rsidP="004A488D">
      <w:pPr>
        <w:spacing w:after="0" w:line="240" w:lineRule="auto"/>
        <w:jc w:val="both"/>
        <w:rPr>
          <w:rFonts w:cs="Times New Roman"/>
        </w:rPr>
      </w:pPr>
    </w:p>
    <w:p w:rsidR="004A488D" w:rsidRPr="008977AA" w:rsidRDefault="00AB4B0C" w:rsidP="00F23140">
      <w:pPr>
        <w:autoSpaceDE w:val="0"/>
        <w:autoSpaceDN w:val="0"/>
        <w:adjustRightInd w:val="0"/>
        <w:jc w:val="both"/>
        <w:rPr>
          <w:rFonts w:eastAsia="Calibri" w:cs="Times New Roman"/>
          <w:b/>
          <w:bCs/>
          <w:u w:val="single"/>
        </w:rPr>
      </w:pPr>
      <w:r w:rsidRPr="008977AA">
        <w:rPr>
          <w:rFonts w:eastAsia="Calibri" w:cs="Times New Roman"/>
          <w:b/>
          <w:bCs/>
          <w:u w:val="single"/>
        </w:rPr>
        <w:t>Etape 4 :</w:t>
      </w:r>
      <w:r w:rsidR="00F23140">
        <w:rPr>
          <w:rFonts w:eastAsia="Calibri" w:cs="Times New Roman"/>
          <w:b/>
          <w:bCs/>
          <w:u w:val="single"/>
        </w:rPr>
        <w:t xml:space="preserve"> </w:t>
      </w:r>
      <w:r w:rsidR="000B2C2F" w:rsidRPr="008977AA">
        <w:rPr>
          <w:rFonts w:eastAsia="Calibri" w:cs="Times New Roman"/>
          <w:b/>
          <w:bCs/>
          <w:u w:val="single"/>
        </w:rPr>
        <w:t xml:space="preserve">Animation d’un atelier </w:t>
      </w:r>
      <w:r w:rsidR="00F23140">
        <w:rPr>
          <w:rFonts w:eastAsia="Calibri" w:cs="Times New Roman"/>
          <w:b/>
          <w:bCs/>
          <w:u w:val="single"/>
        </w:rPr>
        <w:t xml:space="preserve">participatif </w:t>
      </w:r>
      <w:r w:rsidR="000B2C2F" w:rsidRPr="008977AA">
        <w:rPr>
          <w:rFonts w:eastAsia="Calibri" w:cs="Times New Roman"/>
          <w:b/>
          <w:bCs/>
          <w:u w:val="single"/>
        </w:rPr>
        <w:t xml:space="preserve">de </w:t>
      </w:r>
      <w:r w:rsidR="00AC6434" w:rsidRPr="008977AA">
        <w:rPr>
          <w:rFonts w:eastAsia="Calibri" w:cs="Times New Roman"/>
          <w:b/>
          <w:bCs/>
          <w:u w:val="single"/>
        </w:rPr>
        <w:t>planification stratégique</w:t>
      </w:r>
      <w:r w:rsidRPr="008977AA">
        <w:rPr>
          <w:rFonts w:eastAsia="Calibri" w:cs="Times New Roman"/>
          <w:b/>
          <w:bCs/>
          <w:u w:val="single"/>
        </w:rPr>
        <w:t xml:space="preserve"> sur la base des résultats et recommandations des étapes 1,2 et 3 :</w:t>
      </w:r>
    </w:p>
    <w:p w:rsidR="004A488D" w:rsidRPr="008977AA" w:rsidRDefault="00B6136A" w:rsidP="00F23140">
      <w:pPr>
        <w:autoSpaceDE w:val="0"/>
        <w:autoSpaceDN w:val="0"/>
        <w:adjustRightInd w:val="0"/>
        <w:jc w:val="both"/>
        <w:rPr>
          <w:rFonts w:eastAsia="Calibri" w:cs="Times New Roman"/>
        </w:rPr>
      </w:pPr>
      <w:r w:rsidRPr="008977AA">
        <w:rPr>
          <w:rFonts w:eastAsia="Calibri" w:cs="Times New Roman"/>
        </w:rPr>
        <w:t>L</w:t>
      </w:r>
      <w:r w:rsidR="00AB4B0C" w:rsidRPr="008977AA">
        <w:rPr>
          <w:rFonts w:eastAsia="Calibri" w:cs="Times New Roman"/>
        </w:rPr>
        <w:t xml:space="preserve">e/la consultante/bureau d’études devra procéder à la mise en commun et le partage/diffusion des résultats des étapes précédentes selon l’approche de planification stratégique, et ce, avec </w:t>
      </w:r>
      <w:r w:rsidR="000B2C2F" w:rsidRPr="008977AA">
        <w:rPr>
          <w:rFonts w:eastAsia="Calibri" w:cs="Times New Roman"/>
        </w:rPr>
        <w:t>les partenaires impliqués et potentiels</w:t>
      </w:r>
      <w:r w:rsidR="00AB4B0C" w:rsidRPr="008977AA">
        <w:rPr>
          <w:rFonts w:eastAsia="Calibri" w:cs="Times New Roman"/>
        </w:rPr>
        <w:t xml:space="preserve"> institutionnels et de la société c</w:t>
      </w:r>
      <w:r w:rsidR="000B2C2F" w:rsidRPr="008977AA">
        <w:rPr>
          <w:rFonts w:eastAsia="Calibri" w:cs="Times New Roman"/>
        </w:rPr>
        <w:t xml:space="preserve">ivile en vue de présenter et débattre </w:t>
      </w:r>
      <w:r w:rsidR="00D87205" w:rsidRPr="008977AA">
        <w:rPr>
          <w:rFonts w:eastAsia="Calibri" w:cs="Times New Roman"/>
        </w:rPr>
        <w:t xml:space="preserve">du projet de </w:t>
      </w:r>
      <w:r w:rsidR="008977AA" w:rsidRPr="008977AA">
        <w:rPr>
          <w:rFonts w:eastAsia="Calibri" w:cs="Times New Roman"/>
        </w:rPr>
        <w:t>plateforme</w:t>
      </w:r>
      <w:r w:rsidR="00D87205" w:rsidRPr="008977AA">
        <w:rPr>
          <w:rFonts w:eastAsia="Calibri" w:cs="Times New Roman"/>
        </w:rPr>
        <w:t xml:space="preserve"> stratégique</w:t>
      </w:r>
      <w:r w:rsidR="00F23140">
        <w:rPr>
          <w:rFonts w:eastAsia="Calibri" w:cs="Times New Roman"/>
        </w:rPr>
        <w:t xml:space="preserve"> </w:t>
      </w:r>
      <w:r w:rsidR="00AB4B0C" w:rsidRPr="008977AA">
        <w:rPr>
          <w:rFonts w:eastAsia="Calibri" w:cs="Times New Roman"/>
        </w:rPr>
        <w:t xml:space="preserve">de coordination et </w:t>
      </w:r>
      <w:r w:rsidR="00F23140">
        <w:rPr>
          <w:rFonts w:eastAsia="Calibri" w:cs="Times New Roman"/>
        </w:rPr>
        <w:t xml:space="preserve">de </w:t>
      </w:r>
      <w:r w:rsidR="00AB4B0C" w:rsidRPr="008977AA">
        <w:rPr>
          <w:rFonts w:eastAsia="Calibri" w:cs="Times New Roman"/>
        </w:rPr>
        <w:t>son plan d’action</w:t>
      </w:r>
      <w:r w:rsidR="000B2C2F" w:rsidRPr="008977AA">
        <w:rPr>
          <w:rFonts w:cs="Times New Roman"/>
        </w:rPr>
        <w:t>.</w:t>
      </w:r>
    </w:p>
    <w:p w:rsidR="00A47264" w:rsidRPr="00832895" w:rsidRDefault="000B2C2F" w:rsidP="00207FD1">
      <w:pPr>
        <w:pStyle w:val="Heading1"/>
      </w:pPr>
      <w:r w:rsidRPr="00832895">
        <w:t>Profil du consultant/e</w:t>
      </w:r>
      <w:r w:rsidR="00AB4B0C" w:rsidRPr="00832895">
        <w:t xml:space="preserve"> et compétences </w:t>
      </w:r>
      <w:r w:rsidR="008977AA" w:rsidRPr="00832895">
        <w:t>requis :</w:t>
      </w:r>
    </w:p>
    <w:p w:rsidR="00F23140" w:rsidRDefault="00F23140" w:rsidP="004A488D">
      <w:pPr>
        <w:spacing w:after="0"/>
        <w:ind w:left="66"/>
        <w:rPr>
          <w:rFonts w:cs="Times New Roman"/>
        </w:rPr>
      </w:pPr>
    </w:p>
    <w:p w:rsidR="004A488D" w:rsidRPr="008977AA" w:rsidRDefault="004A488D" w:rsidP="004A488D">
      <w:pPr>
        <w:spacing w:after="0"/>
        <w:ind w:left="66"/>
        <w:rPr>
          <w:rFonts w:cs="Times New Roman"/>
        </w:rPr>
      </w:pPr>
      <w:r w:rsidRPr="008977AA">
        <w:rPr>
          <w:rFonts w:cs="Times New Roman"/>
        </w:rPr>
        <w:t>Le/la consultant/ doit justifier</w:t>
      </w:r>
      <w:r w:rsidR="007C0947" w:rsidRPr="008977AA">
        <w:rPr>
          <w:rFonts w:cs="Times New Roman"/>
        </w:rPr>
        <w:t> :</w:t>
      </w:r>
    </w:p>
    <w:p w:rsidR="004A488D" w:rsidRPr="00591C55" w:rsidRDefault="004A488D" w:rsidP="00E44900">
      <w:pPr>
        <w:pStyle w:val="ListParagraph"/>
        <w:numPr>
          <w:ilvl w:val="0"/>
          <w:numId w:val="11"/>
        </w:numPr>
        <w:spacing w:after="0" w:line="240" w:lineRule="auto"/>
        <w:jc w:val="both"/>
        <w:rPr>
          <w:rFonts w:eastAsia="Times New Roman" w:cs="Times New Roman"/>
        </w:rPr>
      </w:pPr>
      <w:r w:rsidRPr="00591C55">
        <w:rPr>
          <w:rFonts w:eastAsia="Times New Roman" w:cs="Times New Roman"/>
        </w:rPr>
        <w:t xml:space="preserve">d’un niveau universitaire </w:t>
      </w:r>
      <w:r w:rsidR="00595816" w:rsidRPr="00591C55">
        <w:rPr>
          <w:rFonts w:eastAsia="Times New Roman" w:cs="Times New Roman"/>
        </w:rPr>
        <w:t>supérieur</w:t>
      </w:r>
      <w:r w:rsidR="00F23140">
        <w:rPr>
          <w:rFonts w:eastAsia="Times New Roman" w:cs="Times New Roman"/>
        </w:rPr>
        <w:t xml:space="preserve"> </w:t>
      </w:r>
      <w:r w:rsidRPr="00591C55">
        <w:rPr>
          <w:rFonts w:eastAsia="Times New Roman" w:cs="Times New Roman"/>
        </w:rPr>
        <w:t>minimum Bac + 5</w:t>
      </w:r>
      <w:r w:rsidR="00B6136A" w:rsidRPr="00591C55">
        <w:rPr>
          <w:rFonts w:eastAsia="Times New Roman" w:cs="Times New Roman"/>
        </w:rPr>
        <w:t xml:space="preserve">, en sciences sociales, gestion </w:t>
      </w:r>
      <w:r w:rsidR="00F23140">
        <w:rPr>
          <w:rFonts w:eastAsia="Times New Roman" w:cs="Times New Roman"/>
        </w:rPr>
        <w:t>des organisations</w:t>
      </w:r>
      <w:r w:rsidRPr="00591C55">
        <w:rPr>
          <w:rFonts w:eastAsia="Times New Roman" w:cs="Times New Roman"/>
        </w:rPr>
        <w:t xml:space="preserve">. </w:t>
      </w:r>
    </w:p>
    <w:p w:rsidR="004A488D" w:rsidRPr="00591C55" w:rsidRDefault="00B6136A" w:rsidP="00E44900">
      <w:pPr>
        <w:pStyle w:val="ListParagraph"/>
        <w:numPr>
          <w:ilvl w:val="0"/>
          <w:numId w:val="11"/>
        </w:numPr>
        <w:spacing w:after="0" w:line="240" w:lineRule="auto"/>
        <w:jc w:val="both"/>
        <w:rPr>
          <w:rFonts w:eastAsia="Times New Roman" w:cs="Times New Roman"/>
        </w:rPr>
      </w:pPr>
      <w:r w:rsidRPr="00591C55">
        <w:rPr>
          <w:rFonts w:eastAsia="Times New Roman" w:cs="Times New Roman"/>
        </w:rPr>
        <w:t>d’une expérience prouvée dans le domaine de la planification stratégique, l’ingénierie des organisations et de mise en place de schéma organisationnel basé sur une approche multisectorielle notamment dans le domaine de la</w:t>
      </w:r>
      <w:r w:rsidR="00D14878" w:rsidRPr="00591C55">
        <w:rPr>
          <w:rFonts w:eastAsia="Times New Roman" w:cs="Times New Roman"/>
        </w:rPr>
        <w:t xml:space="preserve"> lutte contre la </w:t>
      </w:r>
      <w:r w:rsidRPr="00591C55">
        <w:rPr>
          <w:rFonts w:eastAsia="Times New Roman" w:cs="Times New Roman"/>
        </w:rPr>
        <w:t>violence fondée sur le genre.</w:t>
      </w:r>
    </w:p>
    <w:p w:rsidR="004A488D" w:rsidRPr="00591C55" w:rsidRDefault="00B6136A" w:rsidP="00E44900">
      <w:pPr>
        <w:pStyle w:val="ListParagraph"/>
        <w:numPr>
          <w:ilvl w:val="0"/>
          <w:numId w:val="11"/>
        </w:numPr>
        <w:spacing w:after="0" w:line="240" w:lineRule="auto"/>
        <w:jc w:val="both"/>
        <w:rPr>
          <w:rFonts w:eastAsia="Times New Roman" w:cs="Times New Roman"/>
        </w:rPr>
      </w:pPr>
      <w:r w:rsidRPr="00591C55">
        <w:rPr>
          <w:rFonts w:eastAsia="Times New Roman" w:cs="Times New Roman"/>
        </w:rPr>
        <w:t>une bonne connaissance du contexte relatif à la lutte contre la violence à l’égard</w:t>
      </w:r>
      <w:r w:rsidR="00224156" w:rsidRPr="00591C55">
        <w:rPr>
          <w:rFonts w:eastAsia="Times New Roman" w:cs="Times New Roman"/>
        </w:rPr>
        <w:t xml:space="preserve"> des femmes </w:t>
      </w:r>
      <w:r w:rsidR="00D14878" w:rsidRPr="00591C55">
        <w:rPr>
          <w:rFonts w:eastAsia="Times New Roman" w:cs="Times New Roman"/>
        </w:rPr>
        <w:t>(contexte national et orientations/directives internationales).</w:t>
      </w:r>
    </w:p>
    <w:p w:rsidR="004A488D" w:rsidRPr="00591C55" w:rsidRDefault="00224156" w:rsidP="00E44900">
      <w:pPr>
        <w:pStyle w:val="ListParagraph"/>
        <w:numPr>
          <w:ilvl w:val="0"/>
          <w:numId w:val="11"/>
        </w:numPr>
        <w:spacing w:after="0" w:line="240" w:lineRule="auto"/>
        <w:jc w:val="both"/>
        <w:rPr>
          <w:rFonts w:eastAsia="Times New Roman" w:cs="Times New Roman"/>
        </w:rPr>
      </w:pPr>
      <w:r w:rsidRPr="00591C55">
        <w:rPr>
          <w:rFonts w:eastAsia="Times New Roman" w:cs="Times New Roman"/>
        </w:rPr>
        <w:t xml:space="preserve">d’une bonne </w:t>
      </w:r>
      <w:r w:rsidR="00AC6434" w:rsidRPr="00591C55">
        <w:rPr>
          <w:rFonts w:eastAsia="Times New Roman" w:cs="Times New Roman"/>
        </w:rPr>
        <w:t>capacité d’animation</w:t>
      </w:r>
      <w:r w:rsidRPr="00591C55">
        <w:rPr>
          <w:rFonts w:eastAsia="Times New Roman" w:cs="Times New Roman"/>
        </w:rPr>
        <w:t xml:space="preserve">, de communication et </w:t>
      </w:r>
      <w:r w:rsidR="007C0947" w:rsidRPr="00591C55">
        <w:rPr>
          <w:rFonts w:eastAsia="Times New Roman" w:cs="Times New Roman"/>
        </w:rPr>
        <w:t>rédactionnelle</w:t>
      </w:r>
      <w:r w:rsidRPr="00591C55">
        <w:rPr>
          <w:rFonts w:eastAsia="Times New Roman" w:cs="Times New Roman"/>
        </w:rPr>
        <w:t xml:space="preserve"> en arabe et en français</w:t>
      </w:r>
      <w:r w:rsidR="00D14878" w:rsidRPr="00591C55">
        <w:rPr>
          <w:rFonts w:eastAsia="Times New Roman" w:cs="Times New Roman"/>
        </w:rPr>
        <w:t>.</w:t>
      </w:r>
    </w:p>
    <w:p w:rsidR="00B13471" w:rsidRPr="00832895" w:rsidRDefault="002C32C3" w:rsidP="00207FD1">
      <w:pPr>
        <w:pStyle w:val="Heading1"/>
      </w:pPr>
      <w:r w:rsidRPr="00832895">
        <w:t xml:space="preserve">Dossier et </w:t>
      </w:r>
      <w:r w:rsidR="00470252">
        <w:t>m</w:t>
      </w:r>
      <w:r w:rsidR="000B2C2F" w:rsidRPr="00832895">
        <w:t>odalités de soumission des offres</w:t>
      </w:r>
    </w:p>
    <w:p w:rsidR="00467B6A" w:rsidRPr="008977AA" w:rsidRDefault="00467B6A" w:rsidP="007C453D">
      <w:pPr>
        <w:pStyle w:val="ListParagraph"/>
        <w:tabs>
          <w:tab w:val="left" w:pos="284"/>
          <w:tab w:val="left" w:pos="426"/>
        </w:tabs>
        <w:spacing w:after="0" w:line="240" w:lineRule="auto"/>
        <w:ind w:left="0"/>
        <w:jc w:val="both"/>
        <w:rPr>
          <w:rFonts w:cs="Times New Roman"/>
          <w:bCs/>
        </w:rPr>
      </w:pPr>
    </w:p>
    <w:p w:rsidR="00B13471" w:rsidRPr="008977AA" w:rsidRDefault="000B2C2F" w:rsidP="007C453D">
      <w:pPr>
        <w:pStyle w:val="ListParagraph"/>
        <w:tabs>
          <w:tab w:val="left" w:pos="284"/>
          <w:tab w:val="left" w:pos="426"/>
        </w:tabs>
        <w:spacing w:after="0" w:line="240" w:lineRule="auto"/>
        <w:ind w:left="0"/>
        <w:jc w:val="both"/>
        <w:rPr>
          <w:rFonts w:cs="Times New Roman"/>
          <w:bCs/>
        </w:rPr>
      </w:pPr>
      <w:r w:rsidRPr="008977AA">
        <w:rPr>
          <w:rFonts w:cs="Times New Roman"/>
          <w:bCs/>
        </w:rPr>
        <w:t>Cette consultation est ouverte aux consultants</w:t>
      </w:r>
      <w:r w:rsidR="00AB4B0C" w:rsidRPr="008977AA">
        <w:rPr>
          <w:rFonts w:cs="Times New Roman"/>
          <w:bCs/>
        </w:rPr>
        <w:t>/bureaux</w:t>
      </w:r>
      <w:r w:rsidRPr="008977AA">
        <w:rPr>
          <w:rFonts w:cs="Times New Roman"/>
          <w:bCs/>
        </w:rPr>
        <w:t xml:space="preserve"> nationaux. Le/la consultant/e candidat/e</w:t>
      </w:r>
      <w:r w:rsidR="00AB4B0C" w:rsidRPr="008977AA">
        <w:rPr>
          <w:rFonts w:cs="Times New Roman"/>
          <w:bCs/>
        </w:rPr>
        <w:t>/bureau</w:t>
      </w:r>
      <w:r w:rsidR="00F23140">
        <w:rPr>
          <w:rFonts w:cs="Times New Roman"/>
          <w:bCs/>
        </w:rPr>
        <w:t xml:space="preserve"> </w:t>
      </w:r>
      <w:r w:rsidRPr="008977AA">
        <w:rPr>
          <w:rFonts w:cs="Times New Roman"/>
          <w:bCs/>
        </w:rPr>
        <w:t>devra soumettre sa proposition</w:t>
      </w:r>
      <w:r w:rsidR="00F23140">
        <w:rPr>
          <w:rFonts w:cs="Times New Roman"/>
          <w:bCs/>
        </w:rPr>
        <w:t xml:space="preserve"> </w:t>
      </w:r>
      <w:r w:rsidRPr="008977AA">
        <w:rPr>
          <w:rFonts w:cs="Times New Roman"/>
          <w:bCs/>
        </w:rPr>
        <w:t>qui couvre l’ensemble des exigences figurant dans les termes de références</w:t>
      </w:r>
      <w:r w:rsidR="00F23140">
        <w:rPr>
          <w:rFonts w:cs="Times New Roman"/>
          <w:bCs/>
        </w:rPr>
        <w:t xml:space="preserve"> </w:t>
      </w:r>
      <w:r w:rsidRPr="008977AA">
        <w:rPr>
          <w:rFonts w:cs="Times New Roman"/>
          <w:bCs/>
        </w:rPr>
        <w:t xml:space="preserve">de </w:t>
      </w:r>
      <w:r w:rsidR="00F23140">
        <w:rPr>
          <w:rFonts w:cs="Times New Roman"/>
          <w:bCs/>
        </w:rPr>
        <w:t xml:space="preserve">ladite </w:t>
      </w:r>
      <w:r w:rsidRPr="008977AA">
        <w:rPr>
          <w:rFonts w:cs="Times New Roman"/>
          <w:bCs/>
        </w:rPr>
        <w:t xml:space="preserve">consultation. </w:t>
      </w:r>
      <w:r w:rsidR="00F23140">
        <w:rPr>
          <w:rFonts w:cs="Times New Roman"/>
          <w:bCs/>
        </w:rPr>
        <w:t xml:space="preserve"> L</w:t>
      </w:r>
      <w:r w:rsidRPr="008977AA">
        <w:rPr>
          <w:rFonts w:cs="Times New Roman"/>
          <w:bCs/>
        </w:rPr>
        <w:t>a proposition doit contenir :</w:t>
      </w:r>
    </w:p>
    <w:p w:rsidR="00B13471" w:rsidRPr="008977AA" w:rsidRDefault="00B13471" w:rsidP="00B13471">
      <w:pPr>
        <w:pStyle w:val="ListParagraph"/>
        <w:tabs>
          <w:tab w:val="left" w:pos="284"/>
          <w:tab w:val="left" w:pos="426"/>
        </w:tabs>
        <w:spacing w:after="0" w:line="240" w:lineRule="auto"/>
        <w:ind w:left="0"/>
        <w:jc w:val="both"/>
        <w:rPr>
          <w:rFonts w:cs="Times New Roman"/>
          <w:bCs/>
        </w:rPr>
      </w:pPr>
    </w:p>
    <w:p w:rsidR="00B13471" w:rsidRPr="008977AA" w:rsidRDefault="000B2C2F" w:rsidP="00E44900">
      <w:pPr>
        <w:pStyle w:val="ListParagraph"/>
        <w:numPr>
          <w:ilvl w:val="0"/>
          <w:numId w:val="1"/>
        </w:numPr>
        <w:tabs>
          <w:tab w:val="left" w:pos="284"/>
          <w:tab w:val="left" w:pos="426"/>
        </w:tabs>
        <w:spacing w:after="0" w:line="240" w:lineRule="auto"/>
        <w:jc w:val="both"/>
        <w:rPr>
          <w:rFonts w:cs="Times New Roman"/>
          <w:b/>
          <w:bCs/>
        </w:rPr>
      </w:pPr>
      <w:r w:rsidRPr="008977AA">
        <w:rPr>
          <w:rFonts w:cs="Times New Roman"/>
          <w:b/>
          <w:bCs/>
        </w:rPr>
        <w:t>L’offre technique constituée des éléments suivants :</w:t>
      </w:r>
    </w:p>
    <w:p w:rsidR="00B13471" w:rsidRPr="008977AA" w:rsidRDefault="000B2C2F" w:rsidP="00E44900">
      <w:pPr>
        <w:pStyle w:val="ListParagraph"/>
        <w:numPr>
          <w:ilvl w:val="0"/>
          <w:numId w:val="2"/>
        </w:numPr>
        <w:tabs>
          <w:tab w:val="left" w:pos="284"/>
          <w:tab w:val="left" w:pos="426"/>
        </w:tabs>
        <w:spacing w:after="0" w:line="240" w:lineRule="auto"/>
        <w:jc w:val="both"/>
        <w:rPr>
          <w:rFonts w:cs="Times New Roman"/>
          <w:bCs/>
        </w:rPr>
      </w:pPr>
      <w:r w:rsidRPr="008977AA">
        <w:rPr>
          <w:rFonts w:cs="Times New Roman"/>
          <w:bCs/>
        </w:rPr>
        <w:t>Note méthodologique décrivant la démarche qui sera suivie conformément aux termes de référence de la consultation et des éléments contribuant à l’enrichissement de ces termes de référence.</w:t>
      </w:r>
    </w:p>
    <w:p w:rsidR="00BD4060" w:rsidRPr="008977AA" w:rsidRDefault="000B2C2F" w:rsidP="00E44900">
      <w:pPr>
        <w:pStyle w:val="ListParagraph"/>
        <w:numPr>
          <w:ilvl w:val="0"/>
          <w:numId w:val="2"/>
        </w:numPr>
        <w:autoSpaceDE w:val="0"/>
        <w:autoSpaceDN w:val="0"/>
        <w:adjustRightInd w:val="0"/>
        <w:spacing w:after="0" w:line="240" w:lineRule="auto"/>
        <w:jc w:val="both"/>
        <w:rPr>
          <w:rFonts w:cs="Times New Roman"/>
          <w:bCs/>
        </w:rPr>
      </w:pPr>
      <w:r w:rsidRPr="008977AA">
        <w:rPr>
          <w:rFonts w:cs="Times New Roman"/>
          <w:bCs/>
        </w:rPr>
        <w:t>Le/les CV actualisés et détaillés du/des consultant-es</w:t>
      </w:r>
      <w:r w:rsidR="00591C55">
        <w:rPr>
          <w:rFonts w:cs="Times New Roman"/>
          <w:bCs/>
        </w:rPr>
        <w:t>.</w:t>
      </w:r>
    </w:p>
    <w:p w:rsidR="00BD4060" w:rsidRPr="008977AA" w:rsidRDefault="000B2C2F" w:rsidP="00E44900">
      <w:pPr>
        <w:pStyle w:val="ListParagraph"/>
        <w:numPr>
          <w:ilvl w:val="0"/>
          <w:numId w:val="2"/>
        </w:numPr>
        <w:autoSpaceDE w:val="0"/>
        <w:autoSpaceDN w:val="0"/>
        <w:adjustRightInd w:val="0"/>
        <w:spacing w:after="0" w:line="240" w:lineRule="auto"/>
        <w:jc w:val="both"/>
        <w:rPr>
          <w:rFonts w:cs="Times New Roman"/>
          <w:bCs/>
        </w:rPr>
      </w:pPr>
      <w:r w:rsidRPr="008977AA">
        <w:rPr>
          <w:rFonts w:cs="Times New Roman"/>
          <w:bCs/>
        </w:rPr>
        <w:t>Les attestations de références du consultant/bureau d’études pour des travaux similaires</w:t>
      </w:r>
      <w:r w:rsidR="00591C55">
        <w:rPr>
          <w:rFonts w:cs="Times New Roman"/>
          <w:bCs/>
        </w:rPr>
        <w:t>.</w:t>
      </w:r>
    </w:p>
    <w:p w:rsidR="007154E8" w:rsidRPr="008977AA" w:rsidRDefault="000B2C2F" w:rsidP="00E44900">
      <w:pPr>
        <w:pStyle w:val="ListParagraph"/>
        <w:numPr>
          <w:ilvl w:val="0"/>
          <w:numId w:val="2"/>
        </w:numPr>
        <w:tabs>
          <w:tab w:val="left" w:pos="284"/>
          <w:tab w:val="left" w:pos="426"/>
        </w:tabs>
        <w:spacing w:after="0" w:line="240" w:lineRule="auto"/>
        <w:jc w:val="both"/>
        <w:rPr>
          <w:rFonts w:cs="Times New Roman"/>
          <w:bCs/>
        </w:rPr>
      </w:pPr>
      <w:r w:rsidRPr="008977AA">
        <w:rPr>
          <w:rFonts w:cs="Times New Roman"/>
          <w:bCs/>
        </w:rPr>
        <w:t>Copies légalisées des diplômes et attestations de référence.</w:t>
      </w:r>
    </w:p>
    <w:p w:rsidR="00B13471" w:rsidRPr="008977AA" w:rsidRDefault="000B2C2F" w:rsidP="00E44900">
      <w:pPr>
        <w:pStyle w:val="ListParagraph"/>
        <w:numPr>
          <w:ilvl w:val="0"/>
          <w:numId w:val="2"/>
        </w:numPr>
        <w:tabs>
          <w:tab w:val="left" w:pos="284"/>
          <w:tab w:val="left" w:pos="426"/>
        </w:tabs>
        <w:spacing w:after="0" w:line="240" w:lineRule="auto"/>
        <w:jc w:val="both"/>
        <w:rPr>
          <w:rFonts w:cs="Times New Roman"/>
          <w:bCs/>
        </w:rPr>
      </w:pPr>
      <w:r w:rsidRPr="008977AA">
        <w:rPr>
          <w:rFonts w:cs="Times New Roman"/>
          <w:bCs/>
        </w:rPr>
        <w:t>Calendrier d'exécution</w:t>
      </w:r>
      <w:r w:rsidR="00591C55">
        <w:rPr>
          <w:rFonts w:cs="Times New Roman"/>
          <w:bCs/>
        </w:rPr>
        <w:t>.</w:t>
      </w:r>
    </w:p>
    <w:p w:rsidR="00F23140" w:rsidRPr="008977AA" w:rsidRDefault="00F23140" w:rsidP="004B7039">
      <w:pPr>
        <w:tabs>
          <w:tab w:val="left" w:pos="284"/>
          <w:tab w:val="left" w:pos="426"/>
        </w:tabs>
        <w:spacing w:after="0" w:line="240" w:lineRule="auto"/>
        <w:ind w:left="360"/>
        <w:jc w:val="both"/>
        <w:rPr>
          <w:rFonts w:cs="Times New Roman"/>
          <w:bCs/>
        </w:rPr>
      </w:pPr>
    </w:p>
    <w:p w:rsidR="00B13471" w:rsidRPr="008977AA" w:rsidRDefault="000B2C2F" w:rsidP="00E44900">
      <w:pPr>
        <w:numPr>
          <w:ilvl w:val="0"/>
          <w:numId w:val="1"/>
        </w:numPr>
        <w:tabs>
          <w:tab w:val="left" w:pos="426"/>
        </w:tabs>
        <w:spacing w:after="0" w:line="240" w:lineRule="auto"/>
        <w:jc w:val="both"/>
        <w:rPr>
          <w:rFonts w:cs="Times New Roman"/>
          <w:b/>
        </w:rPr>
      </w:pPr>
      <w:r w:rsidRPr="008977AA">
        <w:rPr>
          <w:rFonts w:cs="Times New Roman"/>
          <w:b/>
        </w:rPr>
        <w:t xml:space="preserve">L’offre financière : </w:t>
      </w:r>
    </w:p>
    <w:p w:rsidR="00B13471" w:rsidRPr="00F23140" w:rsidRDefault="00F23140" w:rsidP="00E44900">
      <w:pPr>
        <w:pStyle w:val="ListParagraph"/>
        <w:numPr>
          <w:ilvl w:val="0"/>
          <w:numId w:val="3"/>
        </w:numPr>
        <w:autoSpaceDE w:val="0"/>
        <w:autoSpaceDN w:val="0"/>
        <w:adjustRightInd w:val="0"/>
        <w:spacing w:after="0" w:line="240" w:lineRule="auto"/>
        <w:jc w:val="both"/>
        <w:rPr>
          <w:rFonts w:cs="Times New Roman"/>
        </w:rPr>
      </w:pPr>
      <w:r w:rsidRPr="00F23140">
        <w:rPr>
          <w:rFonts w:cs="Times New Roman"/>
          <w:bCs/>
        </w:rPr>
        <w:t>Une proposition financière détaillée :</w:t>
      </w:r>
      <w:r w:rsidR="000B2C2F" w:rsidRPr="00F23140">
        <w:rPr>
          <w:rFonts w:cs="Times New Roman"/>
        </w:rPr>
        <w:t xml:space="preserve"> nombre de jours de travail effectif estimé.</w:t>
      </w:r>
    </w:p>
    <w:p w:rsidR="00B13471" w:rsidRPr="008977AA" w:rsidRDefault="000B2C2F" w:rsidP="00E44900">
      <w:pPr>
        <w:pStyle w:val="ListParagraph"/>
        <w:numPr>
          <w:ilvl w:val="0"/>
          <w:numId w:val="9"/>
        </w:numPr>
        <w:tabs>
          <w:tab w:val="left" w:pos="426"/>
        </w:tabs>
        <w:spacing w:after="0" w:line="240" w:lineRule="auto"/>
        <w:jc w:val="both"/>
        <w:rPr>
          <w:rFonts w:cs="Times New Roman"/>
        </w:rPr>
      </w:pPr>
      <w:r w:rsidRPr="008977AA">
        <w:rPr>
          <w:rFonts w:cs="Times New Roman"/>
        </w:rPr>
        <w:t xml:space="preserve">L’offre financière en montant brut qui est soumis à l’impôt à la charge du consultant (incluant les honoraires et les éventuels frais de déplacement). </w:t>
      </w:r>
    </w:p>
    <w:p w:rsidR="007154E8" w:rsidRPr="00832895" w:rsidRDefault="000B2C2F" w:rsidP="00207FD1">
      <w:pPr>
        <w:pStyle w:val="Heading1"/>
      </w:pPr>
      <w:r w:rsidRPr="00832895">
        <w:lastRenderedPageBreak/>
        <w:t>Evaluation de l’offre</w:t>
      </w:r>
    </w:p>
    <w:p w:rsidR="007154E8" w:rsidRPr="008977AA" w:rsidRDefault="000B2C2F" w:rsidP="00832895">
      <w:pPr>
        <w:spacing w:before="240" w:after="0" w:line="240" w:lineRule="auto"/>
        <w:jc w:val="both"/>
        <w:rPr>
          <w:rFonts w:cs="Times New Roman"/>
          <w:bCs/>
        </w:rPr>
      </w:pPr>
      <w:r w:rsidRPr="008977AA">
        <w:rPr>
          <w:rFonts w:cs="Times New Roman"/>
        </w:rPr>
        <w:t>L’évaluation des dossiers de candidatures se fera par une commission constituée par des représentants du M</w:t>
      </w:r>
      <w:r w:rsidR="00F23140">
        <w:rPr>
          <w:rFonts w:cs="Times New Roman"/>
        </w:rPr>
        <w:t>FSEDS</w:t>
      </w:r>
      <w:r w:rsidRPr="008977AA">
        <w:rPr>
          <w:rFonts w:cs="Times New Roman"/>
        </w:rPr>
        <w:t xml:space="preserve"> et de l’UNFPA. </w:t>
      </w:r>
      <w:r w:rsidRPr="008977AA">
        <w:rPr>
          <w:rFonts w:cs="Times New Roman"/>
          <w:bCs/>
        </w:rPr>
        <w:t>L’évaluation des offres se déroulera en deux temps : (i) évaluation/</w:t>
      </w:r>
      <w:r w:rsidR="00AC6434" w:rsidRPr="008977AA">
        <w:rPr>
          <w:rFonts w:cs="Times New Roman"/>
          <w:bCs/>
        </w:rPr>
        <w:t>analyse de</w:t>
      </w:r>
      <w:r w:rsidRPr="008977AA">
        <w:rPr>
          <w:rFonts w:cs="Times New Roman"/>
          <w:bCs/>
        </w:rPr>
        <w:t xml:space="preserve"> l’offre technique dans un premier temps, puis, (ii) évaluation de la proposition financière dans un second temps. </w:t>
      </w:r>
    </w:p>
    <w:p w:rsidR="00A47264" w:rsidRPr="008703F4" w:rsidRDefault="000B2C2F" w:rsidP="00AC6434">
      <w:pPr>
        <w:autoSpaceDE w:val="0"/>
        <w:autoSpaceDN w:val="0"/>
        <w:adjustRightInd w:val="0"/>
        <w:spacing w:before="240" w:after="0" w:line="240" w:lineRule="auto"/>
        <w:ind w:left="45"/>
        <w:jc w:val="both"/>
        <w:rPr>
          <w:rFonts w:eastAsia="Times New Roman" w:cs="Times New Roman"/>
          <w:b/>
          <w:bCs/>
          <w:kern w:val="28"/>
          <w:u w:val="single"/>
        </w:rPr>
      </w:pPr>
      <w:r w:rsidRPr="008703F4">
        <w:rPr>
          <w:rFonts w:eastAsia="Times New Roman" w:cs="Times New Roman"/>
          <w:b/>
          <w:bCs/>
          <w:kern w:val="28"/>
          <w:u w:val="single"/>
        </w:rPr>
        <w:t xml:space="preserve">Phase 1 : Analyse technique comparative des offres : </w:t>
      </w:r>
    </w:p>
    <w:p w:rsidR="00A47264" w:rsidRPr="008977AA" w:rsidRDefault="000B2C2F" w:rsidP="002C32C3">
      <w:pPr>
        <w:spacing w:before="240" w:after="0" w:line="240" w:lineRule="auto"/>
        <w:jc w:val="both"/>
        <w:rPr>
          <w:rFonts w:cs="Times New Roman"/>
          <w:bCs/>
        </w:rPr>
      </w:pPr>
      <w:r w:rsidRPr="008977AA">
        <w:rPr>
          <w:rFonts w:cs="Times New Roman"/>
          <w:bCs/>
        </w:rPr>
        <w:t xml:space="preserve">Pendant cette phase, il sera procédé à la comparaison technique des offres. Les offres techniques seront évaluées sur la base de leur degré de pertinence à la réponse aux termes de références. Une note technique </w:t>
      </w:r>
      <w:r w:rsidR="008703F4">
        <w:rPr>
          <w:rFonts w:cs="Times New Roman"/>
          <w:bCs/>
        </w:rPr>
        <w:t>N</w:t>
      </w:r>
      <w:r w:rsidRPr="008977AA">
        <w:rPr>
          <w:rFonts w:cs="Times New Roman"/>
          <w:b/>
          <w:bCs/>
        </w:rPr>
        <w:t>T</w:t>
      </w:r>
      <w:r w:rsidRPr="008977AA">
        <w:rPr>
          <w:rFonts w:cs="Times New Roman"/>
          <w:bCs/>
        </w:rPr>
        <w:t xml:space="preserve"> sur </w:t>
      </w:r>
      <w:r w:rsidRPr="008977AA">
        <w:rPr>
          <w:rFonts w:cs="Times New Roman"/>
          <w:b/>
        </w:rPr>
        <w:t>100</w:t>
      </w:r>
      <w:r w:rsidRPr="008977AA">
        <w:rPr>
          <w:rFonts w:cs="Times New Roman"/>
          <w:bCs/>
        </w:rPr>
        <w:t xml:space="preserve"> sera attribuée à chaque offre, sur la </w:t>
      </w:r>
      <w:r w:rsidRPr="00591C55">
        <w:rPr>
          <w:rFonts w:cs="Times New Roman"/>
          <w:bCs/>
        </w:rPr>
        <w:t xml:space="preserve">base </w:t>
      </w:r>
      <w:r w:rsidR="009D4206" w:rsidRPr="00591C55">
        <w:rPr>
          <w:rFonts w:cs="Times New Roman"/>
          <w:bCs/>
        </w:rPr>
        <w:t>d</w:t>
      </w:r>
      <w:r w:rsidRPr="00591C55">
        <w:rPr>
          <w:rFonts w:cs="Times New Roman"/>
          <w:bCs/>
        </w:rPr>
        <w:t xml:space="preserve">e la grille </w:t>
      </w:r>
      <w:r w:rsidRPr="008977AA">
        <w:rPr>
          <w:rFonts w:cs="Times New Roman"/>
          <w:bCs/>
        </w:rPr>
        <w:t>d’évaluation suivante :</w:t>
      </w:r>
    </w:p>
    <w:tbl>
      <w:tblPr>
        <w:tblStyle w:val="TableGrid"/>
        <w:tblW w:w="9768" w:type="dxa"/>
        <w:tblInd w:w="-176" w:type="dxa"/>
        <w:tblLook w:val="04A0" w:firstRow="1" w:lastRow="0" w:firstColumn="1" w:lastColumn="0" w:noHBand="0" w:noVBand="1"/>
      </w:tblPr>
      <w:tblGrid>
        <w:gridCol w:w="6919"/>
        <w:gridCol w:w="2031"/>
        <w:gridCol w:w="818"/>
      </w:tblGrid>
      <w:tr w:rsidR="00BD4060" w:rsidRPr="008977AA" w:rsidTr="00AF664F">
        <w:trPr>
          <w:trHeight w:val="129"/>
        </w:trPr>
        <w:tc>
          <w:tcPr>
            <w:tcW w:w="6919"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BD4060" w:rsidRPr="008977AA" w:rsidRDefault="000B2C2F" w:rsidP="00591C55">
            <w:pPr>
              <w:jc w:val="center"/>
              <w:rPr>
                <w:rFonts w:cs="Times New Roman"/>
                <w:bCs/>
              </w:rPr>
            </w:pPr>
            <w:r w:rsidRPr="008977AA">
              <w:rPr>
                <w:rFonts w:cs="Times New Roman"/>
                <w:b/>
                <w:bCs/>
              </w:rPr>
              <w:t>Grille d’évaluation</w:t>
            </w:r>
          </w:p>
        </w:tc>
        <w:tc>
          <w:tcPr>
            <w:tcW w:w="2849"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tcPr>
          <w:p w:rsidR="00BD4060" w:rsidRPr="008977AA" w:rsidRDefault="000B2C2F" w:rsidP="00B24D23">
            <w:pPr>
              <w:jc w:val="center"/>
              <w:rPr>
                <w:rFonts w:cs="Times New Roman"/>
                <w:b/>
                <w:bCs/>
              </w:rPr>
            </w:pPr>
            <w:r w:rsidRPr="008977AA">
              <w:rPr>
                <w:rFonts w:cs="Times New Roman"/>
                <w:b/>
                <w:bCs/>
              </w:rPr>
              <w:t>100</w:t>
            </w:r>
          </w:p>
        </w:tc>
      </w:tr>
      <w:tr w:rsidR="00BD4060" w:rsidRPr="008977AA" w:rsidTr="00AF664F">
        <w:trPr>
          <w:trHeight w:val="312"/>
        </w:trPr>
        <w:tc>
          <w:tcPr>
            <w:tcW w:w="6919"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rsidR="00BD4060" w:rsidRPr="008977AA" w:rsidRDefault="000B2C2F" w:rsidP="00591C55">
            <w:pPr>
              <w:rPr>
                <w:rFonts w:cs="Times New Roman"/>
                <w:b/>
                <w:bCs/>
              </w:rPr>
            </w:pPr>
            <w:r w:rsidRPr="008977AA">
              <w:rPr>
                <w:rFonts w:cs="Times New Roman"/>
                <w:b/>
                <w:bCs/>
              </w:rPr>
              <w:t>1 Expertise et formation du soumissionnaire</w:t>
            </w:r>
          </w:p>
        </w:tc>
        <w:tc>
          <w:tcPr>
            <w:tcW w:w="2849"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tcPr>
          <w:p w:rsidR="00BD4060" w:rsidRPr="008977AA" w:rsidRDefault="000B2C2F" w:rsidP="00B24D23">
            <w:pPr>
              <w:jc w:val="center"/>
              <w:rPr>
                <w:rFonts w:cs="Times New Roman"/>
                <w:b/>
                <w:bCs/>
              </w:rPr>
            </w:pPr>
            <w:r w:rsidRPr="008977AA">
              <w:rPr>
                <w:rFonts w:cs="Times New Roman"/>
                <w:b/>
                <w:bCs/>
              </w:rPr>
              <w:t>50</w:t>
            </w:r>
          </w:p>
        </w:tc>
      </w:tr>
      <w:tr w:rsidR="00BD4060" w:rsidRPr="008977AA" w:rsidTr="00AF664F">
        <w:trPr>
          <w:trHeight w:val="1421"/>
        </w:trPr>
        <w:tc>
          <w:tcPr>
            <w:tcW w:w="6919" w:type="dxa"/>
            <w:tcBorders>
              <w:top w:val="single" w:sz="2" w:space="0" w:color="auto"/>
              <w:left w:val="single" w:sz="12" w:space="0" w:color="auto"/>
              <w:bottom w:val="single" w:sz="2" w:space="0" w:color="auto"/>
              <w:right w:val="single" w:sz="2" w:space="0" w:color="auto"/>
            </w:tcBorders>
          </w:tcPr>
          <w:p w:rsidR="004A488D" w:rsidRPr="008977AA" w:rsidRDefault="000B2C2F" w:rsidP="00591C55">
            <w:pPr>
              <w:rPr>
                <w:rFonts w:cs="Times New Roman"/>
                <w:bCs/>
              </w:rPr>
            </w:pPr>
            <w:r w:rsidRPr="008977AA">
              <w:rPr>
                <w:rFonts w:cs="Times New Roman"/>
                <w:b/>
                <w:bCs/>
              </w:rPr>
              <w:t>1.1 Expérience et expertise dans le domaine d’intervention de la prestation :</w:t>
            </w:r>
          </w:p>
          <w:p w:rsidR="004A488D" w:rsidRPr="008977AA" w:rsidRDefault="000B2C2F" w:rsidP="00E44900">
            <w:pPr>
              <w:pStyle w:val="ListParagraph"/>
              <w:numPr>
                <w:ilvl w:val="0"/>
                <w:numId w:val="4"/>
              </w:numPr>
              <w:rPr>
                <w:rFonts w:cs="Times New Roman"/>
                <w:bCs/>
              </w:rPr>
            </w:pPr>
            <w:r w:rsidRPr="008977AA">
              <w:rPr>
                <w:rFonts w:cs="Times New Roman"/>
                <w:bCs/>
              </w:rPr>
              <w:t xml:space="preserve">Grande expérience (sup à 15 ans) </w:t>
            </w:r>
          </w:p>
          <w:p w:rsidR="00BD4060" w:rsidRPr="008977AA" w:rsidRDefault="000B2C2F" w:rsidP="00E44900">
            <w:pPr>
              <w:pStyle w:val="ListParagraph"/>
              <w:numPr>
                <w:ilvl w:val="0"/>
                <w:numId w:val="4"/>
              </w:numPr>
              <w:rPr>
                <w:rFonts w:cs="Times New Roman"/>
                <w:bCs/>
              </w:rPr>
            </w:pPr>
            <w:r w:rsidRPr="008977AA">
              <w:rPr>
                <w:rFonts w:cs="Times New Roman"/>
                <w:bCs/>
              </w:rPr>
              <w:t xml:space="preserve">Assez bonne expérience (entre 10 et 15 ans) </w:t>
            </w:r>
          </w:p>
          <w:p w:rsidR="00BD4060" w:rsidRPr="008977AA" w:rsidRDefault="000B2C2F" w:rsidP="00E44900">
            <w:pPr>
              <w:pStyle w:val="ListParagraph"/>
              <w:numPr>
                <w:ilvl w:val="0"/>
                <w:numId w:val="4"/>
              </w:numPr>
              <w:rPr>
                <w:rFonts w:cs="Times New Roman"/>
                <w:bCs/>
              </w:rPr>
            </w:pPr>
            <w:r w:rsidRPr="008977AA">
              <w:rPr>
                <w:rFonts w:cs="Times New Roman"/>
                <w:bCs/>
              </w:rPr>
              <w:t>Moyenne expérience (entre 5 et 9 ans)</w:t>
            </w:r>
          </w:p>
          <w:p w:rsidR="00BD4060" w:rsidRPr="008977AA" w:rsidRDefault="000B2C2F" w:rsidP="00E44900">
            <w:pPr>
              <w:pStyle w:val="ListParagraph"/>
              <w:numPr>
                <w:ilvl w:val="0"/>
                <w:numId w:val="4"/>
              </w:numPr>
              <w:rPr>
                <w:rFonts w:cs="Times New Roman"/>
                <w:bCs/>
              </w:rPr>
            </w:pPr>
            <w:r w:rsidRPr="008977AA">
              <w:rPr>
                <w:rFonts w:cs="Times New Roman"/>
                <w:bCs/>
              </w:rPr>
              <w:t xml:space="preserve">Faible expérience (moins de 5ans) </w:t>
            </w:r>
          </w:p>
        </w:tc>
        <w:tc>
          <w:tcPr>
            <w:tcW w:w="2849" w:type="dxa"/>
            <w:gridSpan w:val="2"/>
            <w:tcBorders>
              <w:top w:val="single" w:sz="2" w:space="0" w:color="auto"/>
              <w:left w:val="single" w:sz="2" w:space="0" w:color="auto"/>
              <w:bottom w:val="single" w:sz="2" w:space="0" w:color="auto"/>
              <w:right w:val="single" w:sz="12" w:space="0" w:color="auto"/>
            </w:tcBorders>
          </w:tcPr>
          <w:p w:rsidR="00BD4060" w:rsidRPr="00B24D23" w:rsidRDefault="00B24D23" w:rsidP="00B24D23">
            <w:pPr>
              <w:jc w:val="center"/>
              <w:rPr>
                <w:rFonts w:cs="Times New Roman"/>
                <w:b/>
              </w:rPr>
            </w:pPr>
            <w:r w:rsidRPr="00B24D23">
              <w:rPr>
                <w:rFonts w:cs="Times New Roman"/>
                <w:b/>
              </w:rPr>
              <w:t>20</w:t>
            </w:r>
          </w:p>
          <w:p w:rsidR="004A488D" w:rsidRPr="008977AA" w:rsidRDefault="000B2C2F" w:rsidP="00B24D23">
            <w:pPr>
              <w:jc w:val="center"/>
              <w:rPr>
                <w:rFonts w:cs="Times New Roman"/>
                <w:bCs/>
              </w:rPr>
            </w:pPr>
            <w:r w:rsidRPr="008977AA">
              <w:rPr>
                <w:rFonts w:cs="Times New Roman"/>
                <w:bCs/>
              </w:rPr>
              <w:t>20</w:t>
            </w:r>
          </w:p>
          <w:p w:rsidR="004A488D" w:rsidRPr="008977AA" w:rsidRDefault="000B2C2F" w:rsidP="00B24D23">
            <w:pPr>
              <w:jc w:val="center"/>
              <w:rPr>
                <w:rFonts w:cs="Times New Roman"/>
                <w:bCs/>
              </w:rPr>
            </w:pPr>
            <w:r w:rsidRPr="008977AA">
              <w:rPr>
                <w:rFonts w:cs="Times New Roman"/>
                <w:bCs/>
              </w:rPr>
              <w:t>15</w:t>
            </w:r>
          </w:p>
          <w:p w:rsidR="004A488D" w:rsidRPr="008977AA" w:rsidRDefault="000B2C2F" w:rsidP="00B24D23">
            <w:pPr>
              <w:jc w:val="center"/>
              <w:rPr>
                <w:rFonts w:cs="Times New Roman"/>
                <w:bCs/>
              </w:rPr>
            </w:pPr>
            <w:r w:rsidRPr="008977AA">
              <w:rPr>
                <w:rFonts w:cs="Times New Roman"/>
                <w:bCs/>
              </w:rPr>
              <w:t>10</w:t>
            </w:r>
          </w:p>
          <w:p w:rsidR="004A488D" w:rsidRPr="008977AA" w:rsidRDefault="000B2C2F" w:rsidP="00B24D23">
            <w:pPr>
              <w:jc w:val="center"/>
              <w:rPr>
                <w:rFonts w:cs="Times New Roman"/>
                <w:bCs/>
              </w:rPr>
            </w:pPr>
            <w:r w:rsidRPr="008977AA">
              <w:rPr>
                <w:rFonts w:cs="Times New Roman"/>
                <w:bCs/>
              </w:rPr>
              <w:t>5</w:t>
            </w:r>
          </w:p>
        </w:tc>
      </w:tr>
      <w:tr w:rsidR="00BD4060" w:rsidRPr="008977AA" w:rsidTr="00AF664F">
        <w:trPr>
          <w:trHeight w:val="1041"/>
        </w:trPr>
        <w:tc>
          <w:tcPr>
            <w:tcW w:w="6919" w:type="dxa"/>
            <w:tcBorders>
              <w:top w:val="single" w:sz="2" w:space="0" w:color="auto"/>
              <w:left w:val="single" w:sz="12" w:space="0" w:color="auto"/>
              <w:bottom w:val="single" w:sz="2" w:space="0" w:color="auto"/>
              <w:right w:val="single" w:sz="2" w:space="0" w:color="auto"/>
            </w:tcBorders>
          </w:tcPr>
          <w:p w:rsidR="004A488D" w:rsidRPr="008977AA" w:rsidRDefault="000B2C2F" w:rsidP="00591C55">
            <w:pPr>
              <w:rPr>
                <w:rFonts w:cs="Times New Roman"/>
                <w:b/>
                <w:bCs/>
              </w:rPr>
            </w:pPr>
            <w:r w:rsidRPr="008977AA">
              <w:rPr>
                <w:rFonts w:cs="Times New Roman"/>
                <w:b/>
                <w:bCs/>
              </w:rPr>
              <w:t>1.2 Expérience de travail avec les institutions nationales</w:t>
            </w:r>
            <w:r w:rsidR="00AB4B0C" w:rsidRPr="008977AA">
              <w:rPr>
                <w:rFonts w:cs="Times New Roman"/>
                <w:b/>
                <w:bCs/>
              </w:rPr>
              <w:t> :</w:t>
            </w:r>
          </w:p>
          <w:p w:rsidR="004A488D" w:rsidRPr="008977AA" w:rsidRDefault="008703F4" w:rsidP="00E44900">
            <w:pPr>
              <w:pStyle w:val="ListParagraph"/>
              <w:numPr>
                <w:ilvl w:val="0"/>
                <w:numId w:val="5"/>
              </w:numPr>
              <w:rPr>
                <w:rFonts w:cs="Times New Roman"/>
                <w:bCs/>
              </w:rPr>
            </w:pPr>
            <w:r>
              <w:rPr>
                <w:rFonts w:cs="Times New Roman"/>
                <w:bCs/>
              </w:rPr>
              <w:t>Grande expérience (Nbr</w:t>
            </w:r>
            <w:r w:rsidR="000B2C2F" w:rsidRPr="008977AA">
              <w:rPr>
                <w:rFonts w:cs="Times New Roman"/>
                <w:bCs/>
              </w:rPr>
              <w:t xml:space="preserve"> d’attestations sup à 5ans) </w:t>
            </w:r>
          </w:p>
          <w:p w:rsidR="004A488D" w:rsidRPr="008977AA" w:rsidRDefault="000B2C2F" w:rsidP="00E44900">
            <w:pPr>
              <w:pStyle w:val="ListParagraph"/>
              <w:numPr>
                <w:ilvl w:val="0"/>
                <w:numId w:val="5"/>
              </w:numPr>
              <w:rPr>
                <w:rFonts w:cs="Times New Roman"/>
                <w:bCs/>
              </w:rPr>
            </w:pPr>
            <w:r w:rsidRPr="008977AA">
              <w:rPr>
                <w:rFonts w:cs="Times New Roman"/>
                <w:bCs/>
              </w:rPr>
              <w:t xml:space="preserve">Assez bonne expérience (Nbr d’attestations entre 3 et 5 ans) </w:t>
            </w:r>
          </w:p>
          <w:p w:rsidR="004A488D" w:rsidRPr="008977AA" w:rsidRDefault="008703F4" w:rsidP="00E44900">
            <w:pPr>
              <w:pStyle w:val="ListParagraph"/>
              <w:numPr>
                <w:ilvl w:val="0"/>
                <w:numId w:val="5"/>
              </w:numPr>
              <w:rPr>
                <w:rFonts w:cs="Times New Roman"/>
                <w:bCs/>
              </w:rPr>
            </w:pPr>
            <w:r>
              <w:rPr>
                <w:rFonts w:cs="Times New Roman"/>
                <w:bCs/>
              </w:rPr>
              <w:t>Moyenne expérience (Nbr</w:t>
            </w:r>
            <w:r w:rsidR="000B2C2F" w:rsidRPr="008977AA">
              <w:rPr>
                <w:rFonts w:cs="Times New Roman"/>
                <w:bCs/>
              </w:rPr>
              <w:t xml:space="preserve"> d’attestations moins de 3 ans) </w:t>
            </w:r>
          </w:p>
        </w:tc>
        <w:tc>
          <w:tcPr>
            <w:tcW w:w="2849" w:type="dxa"/>
            <w:gridSpan w:val="2"/>
            <w:tcBorders>
              <w:top w:val="single" w:sz="2" w:space="0" w:color="auto"/>
              <w:left w:val="single" w:sz="2" w:space="0" w:color="auto"/>
              <w:bottom w:val="single" w:sz="2" w:space="0" w:color="auto"/>
              <w:right w:val="single" w:sz="12" w:space="0" w:color="auto"/>
            </w:tcBorders>
          </w:tcPr>
          <w:p w:rsidR="004A488D" w:rsidRPr="008977AA" w:rsidRDefault="000B2C2F" w:rsidP="00B24D23">
            <w:pPr>
              <w:jc w:val="center"/>
              <w:rPr>
                <w:rFonts w:cs="Times New Roman"/>
                <w:bCs/>
              </w:rPr>
            </w:pPr>
            <w:r w:rsidRPr="008977AA">
              <w:rPr>
                <w:rFonts w:cs="Times New Roman"/>
                <w:b/>
                <w:bCs/>
              </w:rPr>
              <w:t>15</w:t>
            </w:r>
          </w:p>
          <w:p w:rsidR="004A488D" w:rsidRPr="008977AA" w:rsidRDefault="000B2C2F" w:rsidP="00B24D23">
            <w:pPr>
              <w:jc w:val="center"/>
              <w:rPr>
                <w:rFonts w:cs="Times New Roman"/>
                <w:bCs/>
              </w:rPr>
            </w:pPr>
            <w:r w:rsidRPr="008977AA">
              <w:rPr>
                <w:rFonts w:cs="Times New Roman"/>
                <w:bCs/>
              </w:rPr>
              <w:t>15</w:t>
            </w:r>
          </w:p>
          <w:p w:rsidR="004A488D" w:rsidRPr="008977AA" w:rsidRDefault="000B2C2F" w:rsidP="00B24D23">
            <w:pPr>
              <w:jc w:val="center"/>
              <w:rPr>
                <w:rFonts w:cs="Times New Roman"/>
                <w:bCs/>
              </w:rPr>
            </w:pPr>
            <w:r w:rsidRPr="008977AA">
              <w:rPr>
                <w:rFonts w:cs="Times New Roman"/>
                <w:bCs/>
              </w:rPr>
              <w:t>10</w:t>
            </w:r>
          </w:p>
          <w:p w:rsidR="004A488D" w:rsidRPr="008977AA" w:rsidRDefault="000B2C2F" w:rsidP="00B24D23">
            <w:pPr>
              <w:jc w:val="center"/>
              <w:rPr>
                <w:rFonts w:cs="Times New Roman"/>
                <w:bCs/>
              </w:rPr>
            </w:pPr>
            <w:r w:rsidRPr="008977AA">
              <w:rPr>
                <w:rFonts w:cs="Times New Roman"/>
                <w:bCs/>
              </w:rPr>
              <w:t>5</w:t>
            </w:r>
          </w:p>
        </w:tc>
      </w:tr>
      <w:tr w:rsidR="00BD4060" w:rsidRPr="008977AA" w:rsidTr="00AF664F">
        <w:trPr>
          <w:trHeight w:val="1018"/>
        </w:trPr>
        <w:tc>
          <w:tcPr>
            <w:tcW w:w="6919" w:type="dxa"/>
            <w:tcBorders>
              <w:top w:val="single" w:sz="2" w:space="0" w:color="auto"/>
              <w:left w:val="single" w:sz="12" w:space="0" w:color="auto"/>
              <w:bottom w:val="single" w:sz="12" w:space="0" w:color="auto"/>
              <w:right w:val="single" w:sz="2" w:space="0" w:color="auto"/>
            </w:tcBorders>
          </w:tcPr>
          <w:p w:rsidR="004A488D" w:rsidRPr="008977AA" w:rsidRDefault="000B2C2F" w:rsidP="00591C55">
            <w:pPr>
              <w:rPr>
                <w:rFonts w:cs="Times New Roman"/>
                <w:b/>
                <w:bCs/>
              </w:rPr>
            </w:pPr>
            <w:r w:rsidRPr="008977AA">
              <w:rPr>
                <w:rFonts w:cs="Times New Roman"/>
                <w:b/>
                <w:bCs/>
              </w:rPr>
              <w:t>1.3 Pertinence du CV (diplôme et certificat)</w:t>
            </w:r>
          </w:p>
          <w:p w:rsidR="004A488D" w:rsidRPr="008977AA" w:rsidRDefault="000B2C2F" w:rsidP="00E44900">
            <w:pPr>
              <w:pStyle w:val="ListParagraph"/>
              <w:numPr>
                <w:ilvl w:val="0"/>
                <w:numId w:val="6"/>
              </w:numPr>
              <w:rPr>
                <w:rFonts w:cs="Times New Roman"/>
                <w:bCs/>
              </w:rPr>
            </w:pPr>
            <w:r w:rsidRPr="008977AA">
              <w:rPr>
                <w:rFonts w:cs="Times New Roman"/>
                <w:bCs/>
              </w:rPr>
              <w:t xml:space="preserve">Niveau supérieur (bac +5 et plus) </w:t>
            </w:r>
          </w:p>
          <w:p w:rsidR="00BD4060" w:rsidRPr="008977AA" w:rsidRDefault="000B2C2F" w:rsidP="00E44900">
            <w:pPr>
              <w:pStyle w:val="ListParagraph"/>
              <w:numPr>
                <w:ilvl w:val="0"/>
                <w:numId w:val="6"/>
              </w:numPr>
              <w:rPr>
                <w:rFonts w:cs="Times New Roman"/>
                <w:bCs/>
              </w:rPr>
            </w:pPr>
            <w:r w:rsidRPr="008977AA">
              <w:rPr>
                <w:rFonts w:cs="Times New Roman"/>
                <w:bCs/>
              </w:rPr>
              <w:t xml:space="preserve">Moyen (bac +3) </w:t>
            </w:r>
          </w:p>
          <w:p w:rsidR="00BD4060" w:rsidRPr="008977AA" w:rsidRDefault="000B2C2F" w:rsidP="00E44900">
            <w:pPr>
              <w:pStyle w:val="ListParagraph"/>
              <w:numPr>
                <w:ilvl w:val="0"/>
                <w:numId w:val="6"/>
              </w:numPr>
              <w:rPr>
                <w:rFonts w:cs="Times New Roman"/>
                <w:bCs/>
              </w:rPr>
            </w:pPr>
            <w:r w:rsidRPr="008977AA">
              <w:rPr>
                <w:rFonts w:cs="Times New Roman"/>
                <w:bCs/>
              </w:rPr>
              <w:t>Bac &lt;diplôme &lt; bac +3)</w:t>
            </w:r>
          </w:p>
        </w:tc>
        <w:tc>
          <w:tcPr>
            <w:tcW w:w="2849" w:type="dxa"/>
            <w:gridSpan w:val="2"/>
            <w:tcBorders>
              <w:top w:val="single" w:sz="2" w:space="0" w:color="auto"/>
              <w:left w:val="single" w:sz="2" w:space="0" w:color="auto"/>
              <w:bottom w:val="single" w:sz="12" w:space="0" w:color="auto"/>
              <w:right w:val="single" w:sz="12" w:space="0" w:color="auto"/>
            </w:tcBorders>
          </w:tcPr>
          <w:p w:rsidR="004A488D" w:rsidRPr="008977AA" w:rsidRDefault="000B2C2F" w:rsidP="00B24D23">
            <w:pPr>
              <w:jc w:val="center"/>
              <w:rPr>
                <w:rFonts w:cs="Times New Roman"/>
                <w:b/>
                <w:bCs/>
              </w:rPr>
            </w:pPr>
            <w:r w:rsidRPr="008977AA">
              <w:rPr>
                <w:rFonts w:cs="Times New Roman"/>
                <w:b/>
                <w:bCs/>
              </w:rPr>
              <w:t>15</w:t>
            </w:r>
          </w:p>
          <w:p w:rsidR="004A488D" w:rsidRPr="008977AA" w:rsidRDefault="000B2C2F" w:rsidP="00B24D23">
            <w:pPr>
              <w:jc w:val="center"/>
              <w:rPr>
                <w:rFonts w:cs="Times New Roman"/>
                <w:bCs/>
              </w:rPr>
            </w:pPr>
            <w:r w:rsidRPr="008977AA">
              <w:rPr>
                <w:rFonts w:cs="Times New Roman"/>
                <w:bCs/>
              </w:rPr>
              <w:t>15</w:t>
            </w:r>
          </w:p>
          <w:p w:rsidR="004A488D" w:rsidRPr="008977AA" w:rsidRDefault="000B2C2F" w:rsidP="00B24D23">
            <w:pPr>
              <w:jc w:val="center"/>
              <w:rPr>
                <w:rFonts w:cs="Times New Roman"/>
                <w:bCs/>
              </w:rPr>
            </w:pPr>
            <w:r w:rsidRPr="008977AA">
              <w:rPr>
                <w:rFonts w:cs="Times New Roman"/>
                <w:bCs/>
              </w:rPr>
              <w:t>10</w:t>
            </w:r>
          </w:p>
          <w:p w:rsidR="00BD4060" w:rsidRPr="008977AA" w:rsidRDefault="000B2C2F" w:rsidP="00B24D23">
            <w:pPr>
              <w:jc w:val="center"/>
              <w:rPr>
                <w:rFonts w:cs="Times New Roman"/>
                <w:bCs/>
              </w:rPr>
            </w:pPr>
            <w:r w:rsidRPr="008977AA">
              <w:rPr>
                <w:rFonts w:cs="Times New Roman"/>
                <w:bCs/>
              </w:rPr>
              <w:t>5</w:t>
            </w:r>
          </w:p>
        </w:tc>
      </w:tr>
      <w:tr w:rsidR="00BD4060" w:rsidRPr="008977AA" w:rsidTr="00AF664F">
        <w:tc>
          <w:tcPr>
            <w:tcW w:w="6919"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rsidR="00BD4060" w:rsidRPr="008977AA" w:rsidRDefault="000B2C2F" w:rsidP="00591C55">
            <w:pPr>
              <w:rPr>
                <w:rFonts w:cs="Times New Roman"/>
                <w:bCs/>
              </w:rPr>
            </w:pPr>
            <w:r w:rsidRPr="008977AA">
              <w:rPr>
                <w:rFonts w:cs="Times New Roman"/>
                <w:b/>
                <w:bCs/>
              </w:rPr>
              <w:t>2. Démarche méthodologique</w:t>
            </w:r>
          </w:p>
        </w:tc>
        <w:tc>
          <w:tcPr>
            <w:tcW w:w="2849"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tcPr>
          <w:p w:rsidR="004A488D" w:rsidRPr="008977AA" w:rsidRDefault="000B2C2F" w:rsidP="00B24D23">
            <w:pPr>
              <w:jc w:val="center"/>
              <w:rPr>
                <w:rFonts w:cs="Times New Roman"/>
                <w:bCs/>
              </w:rPr>
            </w:pPr>
            <w:r w:rsidRPr="008977AA">
              <w:rPr>
                <w:rFonts w:cs="Times New Roman"/>
                <w:b/>
                <w:bCs/>
              </w:rPr>
              <w:t>50</w:t>
            </w:r>
          </w:p>
        </w:tc>
      </w:tr>
      <w:tr w:rsidR="00BD4060" w:rsidRPr="008977AA" w:rsidTr="00AF664F">
        <w:tc>
          <w:tcPr>
            <w:tcW w:w="6919" w:type="dxa"/>
            <w:tcBorders>
              <w:top w:val="single" w:sz="2" w:space="0" w:color="auto"/>
              <w:left w:val="single" w:sz="12" w:space="0" w:color="auto"/>
              <w:bottom w:val="single" w:sz="12" w:space="0" w:color="auto"/>
              <w:right w:val="single" w:sz="2" w:space="0" w:color="auto"/>
            </w:tcBorders>
          </w:tcPr>
          <w:p w:rsidR="00BD4060" w:rsidRPr="008977AA" w:rsidRDefault="000B2C2F" w:rsidP="00E44900">
            <w:pPr>
              <w:pStyle w:val="ListParagraph"/>
              <w:numPr>
                <w:ilvl w:val="0"/>
                <w:numId w:val="7"/>
              </w:numPr>
              <w:rPr>
                <w:rFonts w:cs="Times New Roman"/>
                <w:bCs/>
              </w:rPr>
            </w:pPr>
            <w:r w:rsidRPr="008977AA">
              <w:rPr>
                <w:rFonts w:cs="Times New Roman"/>
                <w:bCs/>
              </w:rPr>
              <w:t xml:space="preserve">Approche </w:t>
            </w:r>
            <w:r w:rsidR="008977AA" w:rsidRPr="008977AA">
              <w:rPr>
                <w:rFonts w:cs="Times New Roman"/>
                <w:bCs/>
              </w:rPr>
              <w:t>méthodologique :</w:t>
            </w:r>
            <w:r w:rsidRPr="008977AA">
              <w:rPr>
                <w:rFonts w:cs="Times New Roman"/>
                <w:bCs/>
              </w:rPr>
              <w:t xml:space="preserve"> retrace les objectifs/résultats attendus de la prestation, en détaillant le contenu et l’argumentaire et comportant une valeur ajoutée aux spécifications des TDR</w:t>
            </w:r>
          </w:p>
          <w:p w:rsidR="00BD4060" w:rsidRPr="008977AA" w:rsidRDefault="000B2C2F" w:rsidP="00E44900">
            <w:pPr>
              <w:pStyle w:val="ListParagraph"/>
              <w:numPr>
                <w:ilvl w:val="0"/>
                <w:numId w:val="7"/>
              </w:numPr>
              <w:rPr>
                <w:rFonts w:cs="Times New Roman"/>
                <w:bCs/>
              </w:rPr>
            </w:pPr>
            <w:r w:rsidRPr="008977AA">
              <w:rPr>
                <w:rFonts w:cs="Times New Roman"/>
                <w:bCs/>
              </w:rPr>
              <w:t xml:space="preserve">Approche </w:t>
            </w:r>
            <w:r w:rsidR="008977AA" w:rsidRPr="008977AA">
              <w:rPr>
                <w:rFonts w:cs="Times New Roman"/>
                <w:bCs/>
              </w:rPr>
              <w:t>méthodologique :</w:t>
            </w:r>
            <w:r w:rsidRPr="008977AA">
              <w:rPr>
                <w:rFonts w:cs="Times New Roman"/>
                <w:bCs/>
              </w:rPr>
              <w:t xml:space="preserve"> retrace les objectifs/résultats de la prestation, en détaillant le contenu/argumentaire</w:t>
            </w:r>
          </w:p>
          <w:p w:rsidR="00BD4060" w:rsidRPr="008977AA" w:rsidRDefault="000B2C2F" w:rsidP="00E44900">
            <w:pPr>
              <w:pStyle w:val="ListParagraph"/>
              <w:numPr>
                <w:ilvl w:val="0"/>
                <w:numId w:val="7"/>
              </w:numPr>
              <w:rPr>
                <w:rFonts w:cs="Times New Roman"/>
                <w:bCs/>
              </w:rPr>
            </w:pPr>
            <w:r w:rsidRPr="008977AA">
              <w:rPr>
                <w:rFonts w:cs="Times New Roman"/>
                <w:bCs/>
              </w:rPr>
              <w:t xml:space="preserve">Approche </w:t>
            </w:r>
            <w:r w:rsidR="008977AA" w:rsidRPr="008977AA">
              <w:rPr>
                <w:rFonts w:cs="Times New Roman"/>
                <w:bCs/>
              </w:rPr>
              <w:t>méthodologique :</w:t>
            </w:r>
            <w:r w:rsidRPr="008977AA">
              <w:rPr>
                <w:rFonts w:cs="Times New Roman"/>
                <w:bCs/>
              </w:rPr>
              <w:t xml:space="preserve"> retrace les objectifs de la prestation, sans détailler le contenu/argumentaire (se limite aux TDR)</w:t>
            </w:r>
          </w:p>
          <w:p w:rsidR="00BD4060" w:rsidRPr="008977AA" w:rsidRDefault="000B2C2F" w:rsidP="00E44900">
            <w:pPr>
              <w:pStyle w:val="ListParagraph"/>
              <w:numPr>
                <w:ilvl w:val="0"/>
                <w:numId w:val="8"/>
              </w:numPr>
              <w:rPr>
                <w:rFonts w:cs="Times New Roman"/>
                <w:bCs/>
              </w:rPr>
            </w:pPr>
            <w:r w:rsidRPr="008977AA">
              <w:rPr>
                <w:rFonts w:cs="Times New Roman"/>
                <w:bCs/>
              </w:rPr>
              <w:t>Approche méthodologique : incohérente et/ou non conforme aux TDR de la prestation</w:t>
            </w:r>
          </w:p>
        </w:tc>
        <w:tc>
          <w:tcPr>
            <w:tcW w:w="2031" w:type="dxa"/>
            <w:tcBorders>
              <w:top w:val="single" w:sz="2" w:space="0" w:color="auto"/>
              <w:left w:val="single" w:sz="2" w:space="0" w:color="auto"/>
              <w:bottom w:val="single" w:sz="12" w:space="0" w:color="auto"/>
              <w:right w:val="single" w:sz="2" w:space="0" w:color="auto"/>
            </w:tcBorders>
          </w:tcPr>
          <w:p w:rsidR="00BD4060" w:rsidRPr="008977AA" w:rsidRDefault="000B2C2F" w:rsidP="00591C55">
            <w:pPr>
              <w:jc w:val="both"/>
              <w:rPr>
                <w:rFonts w:cs="Times New Roman"/>
                <w:bCs/>
              </w:rPr>
            </w:pPr>
            <w:r w:rsidRPr="008977AA">
              <w:rPr>
                <w:rFonts w:cs="Times New Roman"/>
                <w:bCs/>
              </w:rPr>
              <w:t>Excellente</w:t>
            </w:r>
          </w:p>
          <w:p w:rsidR="00D15133" w:rsidRDefault="00D15133" w:rsidP="00591C55">
            <w:pPr>
              <w:jc w:val="both"/>
              <w:rPr>
                <w:rFonts w:cs="Times New Roman"/>
                <w:bCs/>
              </w:rPr>
            </w:pPr>
          </w:p>
          <w:p w:rsidR="00B24D23" w:rsidRDefault="00B24D23" w:rsidP="00591C55">
            <w:pPr>
              <w:jc w:val="both"/>
              <w:rPr>
                <w:rFonts w:cs="Times New Roman"/>
                <w:bCs/>
              </w:rPr>
            </w:pPr>
          </w:p>
          <w:p w:rsidR="00B24D23" w:rsidRPr="008977AA" w:rsidRDefault="00B24D23" w:rsidP="00591C55">
            <w:pPr>
              <w:jc w:val="both"/>
              <w:rPr>
                <w:rFonts w:cs="Times New Roman"/>
                <w:bCs/>
              </w:rPr>
            </w:pPr>
          </w:p>
          <w:p w:rsidR="00BD4060" w:rsidRDefault="000B2C2F" w:rsidP="00591C55">
            <w:pPr>
              <w:jc w:val="both"/>
              <w:rPr>
                <w:rFonts w:cs="Times New Roman"/>
                <w:bCs/>
              </w:rPr>
            </w:pPr>
            <w:r w:rsidRPr="008977AA">
              <w:rPr>
                <w:rFonts w:cs="Times New Roman"/>
                <w:bCs/>
              </w:rPr>
              <w:t>Satisfaisante</w:t>
            </w:r>
          </w:p>
          <w:p w:rsidR="00B24D23" w:rsidRPr="008977AA" w:rsidRDefault="00B24D23" w:rsidP="00591C55">
            <w:pPr>
              <w:jc w:val="both"/>
              <w:rPr>
                <w:rFonts w:cs="Times New Roman"/>
                <w:bCs/>
              </w:rPr>
            </w:pPr>
          </w:p>
          <w:p w:rsidR="00BD4060" w:rsidRDefault="000B2C2F" w:rsidP="00591C55">
            <w:pPr>
              <w:rPr>
                <w:rFonts w:cs="Times New Roman"/>
                <w:bCs/>
              </w:rPr>
            </w:pPr>
            <w:r w:rsidRPr="008977AA">
              <w:rPr>
                <w:rFonts w:cs="Times New Roman"/>
                <w:bCs/>
              </w:rPr>
              <w:t>Acceptable</w:t>
            </w:r>
          </w:p>
          <w:p w:rsidR="00B24D23" w:rsidRPr="008977AA" w:rsidRDefault="00B24D23" w:rsidP="00591C55">
            <w:pPr>
              <w:rPr>
                <w:rFonts w:cs="Times New Roman"/>
                <w:bCs/>
              </w:rPr>
            </w:pPr>
          </w:p>
          <w:p w:rsidR="00BD4060" w:rsidRPr="008977AA" w:rsidRDefault="000B2C2F" w:rsidP="00591C55">
            <w:pPr>
              <w:jc w:val="both"/>
              <w:rPr>
                <w:rFonts w:cs="Times New Roman"/>
                <w:bCs/>
              </w:rPr>
            </w:pPr>
            <w:r w:rsidRPr="008977AA">
              <w:rPr>
                <w:rFonts w:cs="Times New Roman"/>
                <w:bCs/>
              </w:rPr>
              <w:t>Méthodologie non conforme</w:t>
            </w:r>
          </w:p>
        </w:tc>
        <w:tc>
          <w:tcPr>
            <w:tcW w:w="818" w:type="dxa"/>
            <w:tcBorders>
              <w:top w:val="single" w:sz="2" w:space="0" w:color="auto"/>
              <w:left w:val="single" w:sz="2" w:space="0" w:color="auto"/>
              <w:bottom w:val="single" w:sz="12" w:space="0" w:color="auto"/>
              <w:right w:val="single" w:sz="12" w:space="0" w:color="auto"/>
            </w:tcBorders>
          </w:tcPr>
          <w:p w:rsidR="00BD4060" w:rsidRPr="008977AA" w:rsidRDefault="000B2C2F" w:rsidP="00B24D23">
            <w:pPr>
              <w:ind w:right="-36"/>
              <w:jc w:val="center"/>
              <w:rPr>
                <w:rFonts w:cs="Times New Roman"/>
                <w:bCs/>
              </w:rPr>
            </w:pPr>
            <w:r w:rsidRPr="008977AA">
              <w:rPr>
                <w:rFonts w:cs="Times New Roman"/>
                <w:bCs/>
              </w:rPr>
              <w:t>50</w:t>
            </w:r>
          </w:p>
          <w:p w:rsidR="00BD4060" w:rsidRDefault="00BD4060" w:rsidP="00B24D23">
            <w:pPr>
              <w:ind w:right="-36"/>
              <w:jc w:val="center"/>
              <w:rPr>
                <w:rFonts w:cs="Times New Roman"/>
                <w:bCs/>
              </w:rPr>
            </w:pPr>
          </w:p>
          <w:p w:rsidR="00B24D23" w:rsidRDefault="00B24D23" w:rsidP="00B24D23">
            <w:pPr>
              <w:ind w:right="-36"/>
              <w:jc w:val="center"/>
              <w:rPr>
                <w:rFonts w:cs="Times New Roman"/>
                <w:bCs/>
              </w:rPr>
            </w:pPr>
          </w:p>
          <w:p w:rsidR="00B24D23" w:rsidRPr="008977AA" w:rsidRDefault="00B24D23" w:rsidP="00B24D23">
            <w:pPr>
              <w:ind w:right="-36"/>
              <w:jc w:val="center"/>
              <w:rPr>
                <w:rFonts w:cs="Times New Roman"/>
                <w:bCs/>
              </w:rPr>
            </w:pPr>
          </w:p>
          <w:p w:rsidR="00BD4060" w:rsidRDefault="000B2C2F" w:rsidP="00B24D23">
            <w:pPr>
              <w:ind w:right="-36"/>
              <w:jc w:val="center"/>
              <w:rPr>
                <w:rFonts w:cs="Times New Roman"/>
                <w:bCs/>
              </w:rPr>
            </w:pPr>
            <w:r w:rsidRPr="008977AA">
              <w:rPr>
                <w:rFonts w:cs="Times New Roman"/>
                <w:bCs/>
              </w:rPr>
              <w:t>40</w:t>
            </w:r>
          </w:p>
          <w:p w:rsidR="00B24D23" w:rsidRPr="008977AA" w:rsidRDefault="00B24D23" w:rsidP="00B24D23">
            <w:pPr>
              <w:ind w:right="-36"/>
              <w:jc w:val="center"/>
              <w:rPr>
                <w:rFonts w:cs="Times New Roman"/>
                <w:bCs/>
              </w:rPr>
            </w:pPr>
          </w:p>
          <w:p w:rsidR="00BD4060" w:rsidRDefault="000B2C2F" w:rsidP="00B24D23">
            <w:pPr>
              <w:ind w:right="-36"/>
              <w:jc w:val="center"/>
              <w:rPr>
                <w:rFonts w:cs="Times New Roman"/>
                <w:bCs/>
              </w:rPr>
            </w:pPr>
            <w:r w:rsidRPr="008977AA">
              <w:rPr>
                <w:rFonts w:cs="Times New Roman"/>
                <w:bCs/>
              </w:rPr>
              <w:t>30</w:t>
            </w:r>
          </w:p>
          <w:p w:rsidR="00B24D23" w:rsidRPr="008977AA" w:rsidRDefault="00B24D23" w:rsidP="00B24D23">
            <w:pPr>
              <w:ind w:right="-36"/>
              <w:jc w:val="center"/>
              <w:rPr>
                <w:rFonts w:cs="Times New Roman"/>
                <w:bCs/>
              </w:rPr>
            </w:pPr>
          </w:p>
          <w:p w:rsidR="00BD4060" w:rsidRPr="008977AA" w:rsidRDefault="000B2C2F" w:rsidP="00B24D23">
            <w:pPr>
              <w:ind w:right="-36"/>
              <w:jc w:val="center"/>
              <w:rPr>
                <w:rFonts w:cs="Times New Roman"/>
                <w:bCs/>
              </w:rPr>
            </w:pPr>
            <w:r w:rsidRPr="008977AA">
              <w:rPr>
                <w:rFonts w:cs="Times New Roman"/>
                <w:bCs/>
              </w:rPr>
              <w:t>0</w:t>
            </w:r>
          </w:p>
          <w:p w:rsidR="00BD4060" w:rsidRPr="008977AA" w:rsidRDefault="00BD4060" w:rsidP="00591C55">
            <w:pPr>
              <w:ind w:left="708"/>
              <w:rPr>
                <w:rFonts w:cs="Times New Roman"/>
                <w:bCs/>
              </w:rPr>
            </w:pPr>
          </w:p>
        </w:tc>
      </w:tr>
    </w:tbl>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BD4060" w:rsidRPr="008977AA" w:rsidTr="008703F4">
        <w:trPr>
          <w:trHeight w:val="445"/>
        </w:trPr>
        <w:tc>
          <w:tcPr>
            <w:tcW w:w="9782" w:type="dxa"/>
            <w:shd w:val="clear" w:color="auto" w:fill="auto"/>
          </w:tcPr>
          <w:p w:rsidR="00BD4060" w:rsidRPr="008977AA" w:rsidRDefault="000B2C2F" w:rsidP="008703F4">
            <w:pPr>
              <w:spacing w:after="0" w:line="240" w:lineRule="auto"/>
              <w:jc w:val="both"/>
              <w:outlineLvl w:val="0"/>
              <w:rPr>
                <w:rFonts w:cs="Times New Roman"/>
                <w:b/>
              </w:rPr>
            </w:pPr>
            <w:r w:rsidRPr="008977AA">
              <w:rPr>
                <w:rFonts w:cs="Times New Roman"/>
                <w:b/>
                <w:u w:val="single"/>
              </w:rPr>
              <w:t>Important</w:t>
            </w:r>
            <w:r w:rsidRPr="008977AA">
              <w:rPr>
                <w:rFonts w:cs="Times New Roman"/>
                <w:b/>
              </w:rPr>
              <w:t xml:space="preserve"> : </w:t>
            </w:r>
            <w:r w:rsidRPr="008977AA">
              <w:rPr>
                <w:rFonts w:cs="Times New Roman"/>
                <w:bCs/>
              </w:rPr>
              <w:t xml:space="preserve">Seront systématiquement éliminées à l’issue de cette phase toutes les offres ayant </w:t>
            </w:r>
            <w:r w:rsidR="008703F4">
              <w:rPr>
                <w:rFonts w:cs="Times New Roman"/>
                <w:bCs/>
              </w:rPr>
              <w:t>o</w:t>
            </w:r>
            <w:r w:rsidRPr="008977AA">
              <w:rPr>
                <w:rFonts w:cs="Times New Roman"/>
                <w:bCs/>
              </w:rPr>
              <w:t xml:space="preserve">btenu une note technique inférieure à la </w:t>
            </w:r>
            <w:r w:rsidRPr="008977AA">
              <w:rPr>
                <w:rFonts w:cs="Times New Roman"/>
                <w:b/>
                <w:bCs/>
              </w:rPr>
              <w:t xml:space="preserve">note technique minimale de </w:t>
            </w:r>
            <w:r w:rsidRPr="008977AA">
              <w:rPr>
                <w:rFonts w:cs="Times New Roman"/>
                <w:b/>
              </w:rPr>
              <w:t>70</w:t>
            </w:r>
            <w:r w:rsidRPr="008977AA">
              <w:rPr>
                <w:rFonts w:cs="Times New Roman"/>
                <w:b/>
                <w:bCs/>
              </w:rPr>
              <w:t xml:space="preserve"> points</w:t>
            </w:r>
            <w:r w:rsidRPr="008977AA">
              <w:rPr>
                <w:rFonts w:cs="Times New Roman"/>
                <w:bCs/>
              </w:rPr>
              <w:t xml:space="preserve">. </w:t>
            </w:r>
          </w:p>
        </w:tc>
      </w:tr>
    </w:tbl>
    <w:p w:rsidR="00BD4060" w:rsidRPr="008703F4" w:rsidRDefault="000B2C2F" w:rsidP="008703F4">
      <w:pPr>
        <w:autoSpaceDE w:val="0"/>
        <w:autoSpaceDN w:val="0"/>
        <w:adjustRightInd w:val="0"/>
        <w:spacing w:before="240" w:after="0" w:line="240" w:lineRule="auto"/>
        <w:ind w:left="45"/>
        <w:jc w:val="both"/>
        <w:rPr>
          <w:rFonts w:eastAsia="Times New Roman" w:cs="Times New Roman"/>
          <w:b/>
          <w:bCs/>
          <w:kern w:val="28"/>
          <w:u w:val="single"/>
        </w:rPr>
      </w:pPr>
      <w:r w:rsidRPr="008703F4">
        <w:rPr>
          <w:rFonts w:eastAsia="Times New Roman" w:cs="Times New Roman"/>
          <w:b/>
          <w:bCs/>
          <w:kern w:val="28"/>
          <w:u w:val="single"/>
        </w:rPr>
        <w:t>Phase 2 : Analyse financière comparative des offres :</w:t>
      </w:r>
    </w:p>
    <w:p w:rsidR="008703F4" w:rsidRPr="008703F4" w:rsidRDefault="008703F4" w:rsidP="008703F4">
      <w:pPr>
        <w:spacing w:before="120" w:after="0"/>
        <w:rPr>
          <w:rFonts w:cs="Times New Roman"/>
          <w:bCs/>
        </w:rPr>
      </w:pPr>
      <w:r w:rsidRPr="008703F4">
        <w:rPr>
          <w:rFonts w:cs="Times New Roman"/>
          <w:bCs/>
        </w:rPr>
        <w:t>A l’issue de cette phase, chaque offre financière sera dotée d’une note (</w:t>
      </w:r>
      <w:r w:rsidRPr="008703F4">
        <w:rPr>
          <w:rFonts w:cs="Times New Roman"/>
          <w:b/>
        </w:rPr>
        <w:t>NF</w:t>
      </w:r>
      <w:r w:rsidRPr="008703F4">
        <w:rPr>
          <w:rFonts w:cs="Times New Roman"/>
          <w:bCs/>
        </w:rPr>
        <w:t>) sur 100 :</w:t>
      </w:r>
    </w:p>
    <w:p w:rsidR="008703F4" w:rsidRPr="008703F4" w:rsidRDefault="008703F4" w:rsidP="008703F4">
      <w:pPr>
        <w:rPr>
          <w:rFonts w:cs="Times New Roman"/>
          <w:bCs/>
        </w:rPr>
      </w:pPr>
      <w:r w:rsidRPr="008703F4">
        <w:rPr>
          <w:rFonts w:cs="Times New Roman"/>
          <w:bCs/>
        </w:rPr>
        <w:t>La note 100 sera attribuée à l’offre valable techniquement et la moins disant. Pour les autres offres, la note sera calculée au moyen de la formule suivante :</w:t>
      </w:r>
    </w:p>
    <w:tbl>
      <w:tblPr>
        <w:tblW w:w="0" w:type="auto"/>
        <w:tblLook w:val="00A0" w:firstRow="1" w:lastRow="0" w:firstColumn="1" w:lastColumn="0" w:noHBand="0" w:noVBand="0"/>
      </w:tblPr>
      <w:tblGrid>
        <w:gridCol w:w="2660"/>
        <w:gridCol w:w="6552"/>
      </w:tblGrid>
      <w:tr w:rsidR="008703F4" w:rsidRPr="008703F4" w:rsidTr="00BD73B0">
        <w:trPr>
          <w:trHeight w:val="80"/>
        </w:trPr>
        <w:tc>
          <w:tcPr>
            <w:tcW w:w="2660" w:type="dxa"/>
          </w:tcPr>
          <w:p w:rsidR="008703F4" w:rsidRPr="008703F4" w:rsidRDefault="008703F4" w:rsidP="00DB51A6">
            <w:pPr>
              <w:outlineLvl w:val="0"/>
              <w:rPr>
                <w:rFonts w:cs="Times New Roman"/>
                <w:bCs/>
              </w:rPr>
            </w:pPr>
            <w:r>
              <w:rPr>
                <w:rFonts w:cs="Times New Roman"/>
                <w:bCs/>
              </w:rPr>
              <w:t>N</w:t>
            </w:r>
            <w:r w:rsidRPr="008703F4">
              <w:rPr>
                <w:rFonts w:cs="Times New Roman"/>
                <w:bCs/>
              </w:rPr>
              <w:t>F= 100 *Pmin/P</w:t>
            </w:r>
          </w:p>
        </w:tc>
        <w:tc>
          <w:tcPr>
            <w:tcW w:w="6552" w:type="dxa"/>
          </w:tcPr>
          <w:p w:rsidR="008703F4" w:rsidRPr="008703F4" w:rsidRDefault="008703F4" w:rsidP="00DB51A6">
            <w:pPr>
              <w:spacing w:after="120"/>
              <w:rPr>
                <w:rFonts w:cs="Times New Roman"/>
                <w:bCs/>
                <w:i/>
                <w:iCs/>
              </w:rPr>
            </w:pPr>
            <w:r w:rsidRPr="008703F4">
              <w:rPr>
                <w:rFonts w:cs="Times New Roman"/>
                <w:bCs/>
                <w:i/>
                <w:iCs/>
              </w:rPr>
              <w:t xml:space="preserve">P : Prix de l’offre </w:t>
            </w:r>
          </w:p>
          <w:p w:rsidR="008703F4" w:rsidRPr="008703F4" w:rsidRDefault="008703F4" w:rsidP="00DB51A6">
            <w:pPr>
              <w:spacing w:after="120"/>
              <w:rPr>
                <w:rFonts w:cs="Times New Roman"/>
                <w:bCs/>
              </w:rPr>
            </w:pPr>
            <w:r w:rsidRPr="008703F4">
              <w:rPr>
                <w:rFonts w:cs="Times New Roman"/>
                <w:bCs/>
                <w:i/>
                <w:iCs/>
              </w:rPr>
              <w:t>Pmin : Prix de l’offre valable techniquement et la moins disant</w:t>
            </w:r>
            <w:r w:rsidR="00B24D23">
              <w:rPr>
                <w:rFonts w:cs="Times New Roman"/>
                <w:bCs/>
                <w:i/>
                <w:iCs/>
              </w:rPr>
              <w:t>e</w:t>
            </w:r>
            <w:r w:rsidRPr="008703F4">
              <w:rPr>
                <w:rFonts w:cs="Times New Roman"/>
                <w:bCs/>
                <w:i/>
                <w:iCs/>
              </w:rPr>
              <w:t>.</w:t>
            </w:r>
          </w:p>
        </w:tc>
      </w:tr>
    </w:tbl>
    <w:p w:rsidR="008703F4" w:rsidRPr="008703F4" w:rsidRDefault="008703F4" w:rsidP="008703F4">
      <w:pPr>
        <w:autoSpaceDE w:val="0"/>
        <w:autoSpaceDN w:val="0"/>
        <w:adjustRightInd w:val="0"/>
        <w:spacing w:before="240" w:after="0" w:line="240" w:lineRule="auto"/>
        <w:ind w:left="45"/>
        <w:jc w:val="both"/>
        <w:rPr>
          <w:rFonts w:eastAsia="Times New Roman" w:cs="Times New Roman"/>
          <w:b/>
          <w:bCs/>
          <w:kern w:val="28"/>
          <w:u w:val="single"/>
        </w:rPr>
      </w:pPr>
      <w:r w:rsidRPr="008703F4">
        <w:rPr>
          <w:rFonts w:eastAsia="Times New Roman" w:cs="Times New Roman"/>
          <w:b/>
          <w:bCs/>
          <w:kern w:val="28"/>
          <w:u w:val="single"/>
        </w:rPr>
        <w:lastRenderedPageBreak/>
        <w:t>Phase 3 : Analyse technico-financière :</w:t>
      </w:r>
    </w:p>
    <w:p w:rsidR="008703F4" w:rsidRPr="008703F4" w:rsidRDefault="008703F4" w:rsidP="008703F4">
      <w:pPr>
        <w:spacing w:before="120" w:after="0"/>
        <w:rPr>
          <w:rFonts w:cs="Times New Roman"/>
          <w:bCs/>
        </w:rPr>
      </w:pPr>
      <w:r w:rsidRPr="008703F4">
        <w:rPr>
          <w:rFonts w:cs="Times New Roman"/>
          <w:bCs/>
        </w:rPr>
        <w:t>Les notes techniques (</w:t>
      </w:r>
      <w:r w:rsidRPr="008703F4">
        <w:rPr>
          <w:rFonts w:cs="Times New Roman"/>
          <w:b/>
        </w:rPr>
        <w:t>NT</w:t>
      </w:r>
      <w:r w:rsidRPr="008703F4">
        <w:rPr>
          <w:rFonts w:cs="Times New Roman"/>
          <w:bCs/>
        </w:rPr>
        <w:t>) et financières (</w:t>
      </w:r>
      <w:r w:rsidRPr="008703F4">
        <w:rPr>
          <w:rFonts w:cs="Times New Roman"/>
          <w:b/>
        </w:rPr>
        <w:t>NF</w:t>
      </w:r>
      <w:r w:rsidRPr="008703F4">
        <w:rPr>
          <w:rFonts w:cs="Times New Roman"/>
          <w:bCs/>
        </w:rPr>
        <w:t>) obtenues pour chaque candidat seront pondérées respectivement par les coefficients suivants :</w:t>
      </w:r>
    </w:p>
    <w:p w:rsidR="008703F4" w:rsidRPr="008703F4" w:rsidRDefault="008703F4" w:rsidP="008703F4">
      <w:pPr>
        <w:spacing w:after="0"/>
        <w:ind w:left="1276"/>
        <w:rPr>
          <w:rFonts w:cs="Times New Roman"/>
          <w:bCs/>
        </w:rPr>
      </w:pPr>
      <w:r w:rsidRPr="008703F4">
        <w:rPr>
          <w:rFonts w:cs="Times New Roman"/>
          <w:bCs/>
        </w:rPr>
        <w:sym w:font="Wingdings" w:char="F0E0"/>
      </w:r>
      <w:r w:rsidRPr="008703F4">
        <w:rPr>
          <w:rFonts w:cs="Times New Roman"/>
          <w:bCs/>
        </w:rPr>
        <w:t xml:space="preserve">70% pour l’offre technique </w:t>
      </w:r>
    </w:p>
    <w:p w:rsidR="008703F4" w:rsidRPr="008703F4" w:rsidRDefault="008703F4" w:rsidP="008703F4">
      <w:pPr>
        <w:spacing w:after="0"/>
        <w:ind w:left="1276"/>
        <w:rPr>
          <w:rFonts w:cs="Times New Roman"/>
          <w:bCs/>
        </w:rPr>
      </w:pPr>
      <w:r w:rsidRPr="008703F4">
        <w:rPr>
          <w:rFonts w:cs="Times New Roman"/>
          <w:bCs/>
        </w:rPr>
        <w:sym w:font="Wingdings" w:char="F0E0"/>
      </w:r>
      <w:r w:rsidRPr="008703F4">
        <w:rPr>
          <w:rFonts w:cs="Times New Roman"/>
          <w:bCs/>
        </w:rPr>
        <w:t>30% pour l’offre financière</w:t>
      </w:r>
    </w:p>
    <w:p w:rsidR="008703F4" w:rsidRPr="008703F4" w:rsidRDefault="008703F4" w:rsidP="008703F4">
      <w:pPr>
        <w:ind w:left="1985"/>
        <w:outlineLvl w:val="0"/>
        <w:rPr>
          <w:rFonts w:cs="Times New Roman"/>
          <w:b/>
        </w:rPr>
      </w:pPr>
      <w:r w:rsidRPr="008703F4">
        <w:rPr>
          <w:rFonts w:cs="Times New Roman"/>
          <w:bCs/>
        </w:rPr>
        <w:tab/>
      </w:r>
      <w:r w:rsidRPr="008703F4">
        <w:rPr>
          <w:rFonts w:cs="Times New Roman"/>
          <w:b/>
        </w:rPr>
        <w:t>N</w:t>
      </w:r>
      <w:r>
        <w:rPr>
          <w:rFonts w:cs="Times New Roman"/>
          <w:b/>
        </w:rPr>
        <w:t>G</w:t>
      </w:r>
      <w:r w:rsidRPr="008703F4">
        <w:rPr>
          <w:rFonts w:cs="Times New Roman"/>
          <w:b/>
        </w:rPr>
        <w:t xml:space="preserve">= 0,7 * </w:t>
      </w:r>
      <w:r>
        <w:rPr>
          <w:rFonts w:cs="Times New Roman"/>
          <w:b/>
        </w:rPr>
        <w:t>N</w:t>
      </w:r>
      <w:r w:rsidRPr="008703F4">
        <w:rPr>
          <w:rFonts w:cs="Times New Roman"/>
          <w:b/>
        </w:rPr>
        <w:t xml:space="preserve">T + 0,3* </w:t>
      </w:r>
      <w:r>
        <w:rPr>
          <w:rFonts w:cs="Times New Roman"/>
          <w:b/>
        </w:rPr>
        <w:t>N</w:t>
      </w:r>
      <w:r w:rsidRPr="008703F4">
        <w:rPr>
          <w:rFonts w:cs="Times New Roman"/>
          <w:b/>
        </w:rPr>
        <w:t>F</w:t>
      </w:r>
    </w:p>
    <w:p w:rsidR="008703F4" w:rsidRPr="008703F4" w:rsidRDefault="008703F4" w:rsidP="008703F4">
      <w:pPr>
        <w:outlineLvl w:val="0"/>
        <w:rPr>
          <w:rFonts w:cs="Times New Roman"/>
        </w:rPr>
      </w:pPr>
      <w:r w:rsidRPr="008703F4">
        <w:rPr>
          <w:rFonts w:cs="Times New Roman"/>
        </w:rPr>
        <w:t xml:space="preserve">Le Contrat sera adjugé à l’offre </w:t>
      </w:r>
      <w:r w:rsidRPr="008703F4">
        <w:rPr>
          <w:rFonts w:eastAsia="Times New Roman" w:cs="Times New Roman"/>
          <w:kern w:val="28"/>
        </w:rPr>
        <w:t xml:space="preserve">du </w:t>
      </w:r>
      <w:r w:rsidRPr="008703F4">
        <w:rPr>
          <w:rFonts w:eastAsia="Times New Roman" w:cs="Times New Roman"/>
          <w:b/>
          <w:bCs/>
          <w:kern w:val="28"/>
        </w:rPr>
        <w:t>mieux disant</w:t>
      </w:r>
      <w:r w:rsidR="001051E8">
        <w:rPr>
          <w:rFonts w:eastAsia="Times New Roman" w:cs="Times New Roman"/>
          <w:b/>
          <w:bCs/>
          <w:kern w:val="28"/>
        </w:rPr>
        <w:t xml:space="preserve"> </w:t>
      </w:r>
      <w:r w:rsidRPr="008703F4">
        <w:rPr>
          <w:rFonts w:cs="Times New Roman"/>
        </w:rPr>
        <w:t xml:space="preserve">ayant obtenu </w:t>
      </w:r>
      <w:r w:rsidRPr="008703F4">
        <w:rPr>
          <w:rFonts w:cs="Times New Roman"/>
          <w:b/>
          <w:bCs/>
        </w:rPr>
        <w:t>la note globale « NG »</w:t>
      </w:r>
      <w:r w:rsidRPr="008703F4">
        <w:rPr>
          <w:rFonts w:cs="Times New Roman"/>
        </w:rPr>
        <w:t xml:space="preserve"> la </w:t>
      </w:r>
      <w:r w:rsidRPr="008703F4">
        <w:rPr>
          <w:rFonts w:cs="Times New Roman"/>
          <w:b/>
          <w:bCs/>
        </w:rPr>
        <w:t>plus élevée</w:t>
      </w:r>
      <w:r w:rsidRPr="008703F4">
        <w:rPr>
          <w:rFonts w:cs="Times New Roman"/>
        </w:rPr>
        <w:t xml:space="preserve">. </w:t>
      </w:r>
    </w:p>
    <w:p w:rsidR="00BD4060" w:rsidRPr="00832895" w:rsidRDefault="000B2C2F" w:rsidP="00207FD1">
      <w:pPr>
        <w:pStyle w:val="Heading1"/>
      </w:pPr>
      <w:r w:rsidRPr="00832895">
        <w:t>Délai de la consultation et livrables</w:t>
      </w:r>
    </w:p>
    <w:p w:rsidR="00BD4060" w:rsidRPr="008977AA" w:rsidRDefault="000B2C2F" w:rsidP="00832895">
      <w:pPr>
        <w:spacing w:before="240" w:after="0" w:line="240" w:lineRule="auto"/>
        <w:ind w:left="-142"/>
        <w:outlineLvl w:val="0"/>
        <w:rPr>
          <w:rFonts w:cs="Times New Roman"/>
          <w:bCs/>
        </w:rPr>
      </w:pPr>
      <w:r w:rsidRPr="00832895">
        <w:rPr>
          <w:rFonts w:cs="Times New Roman"/>
          <w:bCs/>
        </w:rPr>
        <w:t xml:space="preserve">La consultation se déroulera soixante </w:t>
      </w:r>
      <w:r w:rsidR="004A488D" w:rsidRPr="00832895">
        <w:rPr>
          <w:rFonts w:cs="Times New Roman"/>
          <w:bCs/>
        </w:rPr>
        <w:t>(60) jours de travail</w:t>
      </w:r>
      <w:r w:rsidRPr="00832895">
        <w:rPr>
          <w:rFonts w:cs="Times New Roman"/>
          <w:bCs/>
        </w:rPr>
        <w:t xml:space="preserve"> (Jour/Homme) à partir de la date de</w:t>
      </w:r>
      <w:r w:rsidRPr="008977AA">
        <w:rPr>
          <w:rFonts w:cs="Times New Roman"/>
          <w:bCs/>
        </w:rPr>
        <w:t xml:space="preserve"> signature du contrat. </w:t>
      </w:r>
    </w:p>
    <w:tbl>
      <w:tblPr>
        <w:tblStyle w:val="TableGrid"/>
        <w:tblW w:w="9661" w:type="dxa"/>
        <w:jc w:val="center"/>
        <w:tblLook w:val="04A0" w:firstRow="1" w:lastRow="0" w:firstColumn="1" w:lastColumn="0" w:noHBand="0" w:noVBand="1"/>
      </w:tblPr>
      <w:tblGrid>
        <w:gridCol w:w="7792"/>
        <w:gridCol w:w="1869"/>
      </w:tblGrid>
      <w:tr w:rsidR="008977AA" w:rsidRPr="008977AA" w:rsidTr="008703F4">
        <w:trPr>
          <w:trHeight w:val="70"/>
          <w:jc w:val="center"/>
        </w:trPr>
        <w:tc>
          <w:tcPr>
            <w:tcW w:w="7792" w:type="dxa"/>
          </w:tcPr>
          <w:p w:rsidR="008977AA" w:rsidRPr="008977AA" w:rsidRDefault="008977AA" w:rsidP="008977AA">
            <w:pPr>
              <w:outlineLvl w:val="0"/>
              <w:rPr>
                <w:rFonts w:cs="Times New Roman"/>
                <w:b/>
                <w:bCs/>
              </w:rPr>
            </w:pPr>
            <w:r w:rsidRPr="008977AA">
              <w:rPr>
                <w:rFonts w:cs="Times New Roman"/>
                <w:b/>
                <w:bCs/>
              </w:rPr>
              <w:t>Livrable</w:t>
            </w:r>
            <w:r w:rsidR="008703F4">
              <w:rPr>
                <w:rFonts w:cs="Times New Roman"/>
                <w:b/>
                <w:bCs/>
              </w:rPr>
              <w:t>s</w:t>
            </w:r>
          </w:p>
        </w:tc>
        <w:tc>
          <w:tcPr>
            <w:tcW w:w="1869" w:type="dxa"/>
          </w:tcPr>
          <w:p w:rsidR="008977AA" w:rsidRPr="008977AA" w:rsidRDefault="008977AA" w:rsidP="008977AA">
            <w:pPr>
              <w:outlineLvl w:val="0"/>
              <w:rPr>
                <w:rFonts w:cs="Times New Roman"/>
                <w:b/>
                <w:bCs/>
              </w:rPr>
            </w:pPr>
            <w:r w:rsidRPr="008977AA">
              <w:rPr>
                <w:rFonts w:cs="Times New Roman"/>
                <w:b/>
                <w:bCs/>
              </w:rPr>
              <w:t>Nombre de jours</w:t>
            </w:r>
          </w:p>
        </w:tc>
      </w:tr>
      <w:tr w:rsidR="008977AA" w:rsidRPr="008977AA" w:rsidTr="008703F4">
        <w:trPr>
          <w:trHeight w:val="333"/>
          <w:jc w:val="center"/>
        </w:trPr>
        <w:tc>
          <w:tcPr>
            <w:tcW w:w="7792" w:type="dxa"/>
          </w:tcPr>
          <w:p w:rsidR="008977AA" w:rsidRPr="008977AA" w:rsidRDefault="008977AA" w:rsidP="00F23140">
            <w:pPr>
              <w:outlineLvl w:val="0"/>
              <w:rPr>
                <w:rFonts w:cs="Times New Roman"/>
                <w:b/>
                <w:bCs/>
              </w:rPr>
            </w:pPr>
            <w:r w:rsidRPr="008977AA">
              <w:rPr>
                <w:rFonts w:cs="Times New Roman"/>
                <w:b/>
                <w:bCs/>
              </w:rPr>
              <w:t xml:space="preserve">Livrable 1 : </w:t>
            </w:r>
            <w:r w:rsidRPr="009D4206">
              <w:rPr>
                <w:rFonts w:cs="Times New Roman"/>
                <w:bCs/>
              </w:rPr>
              <w:t xml:space="preserve">Note </w:t>
            </w:r>
            <w:r w:rsidR="00F23140">
              <w:rPr>
                <w:rFonts w:cs="Times New Roman"/>
                <w:bCs/>
              </w:rPr>
              <w:t>méthodologique</w:t>
            </w:r>
          </w:p>
        </w:tc>
        <w:tc>
          <w:tcPr>
            <w:tcW w:w="1869" w:type="dxa"/>
            <w:vAlign w:val="center"/>
          </w:tcPr>
          <w:p w:rsidR="008977AA" w:rsidRPr="008977AA" w:rsidRDefault="008977AA" w:rsidP="008977AA">
            <w:pPr>
              <w:jc w:val="center"/>
              <w:outlineLvl w:val="0"/>
              <w:rPr>
                <w:rFonts w:cs="Times New Roman"/>
                <w:b/>
                <w:bCs/>
              </w:rPr>
            </w:pPr>
            <w:r w:rsidRPr="008977AA">
              <w:rPr>
                <w:rFonts w:cs="Times New Roman"/>
                <w:b/>
                <w:bCs/>
              </w:rPr>
              <w:t>3</w:t>
            </w:r>
          </w:p>
        </w:tc>
      </w:tr>
      <w:tr w:rsidR="008977AA" w:rsidRPr="008977AA" w:rsidTr="008703F4">
        <w:trPr>
          <w:trHeight w:val="263"/>
          <w:jc w:val="center"/>
        </w:trPr>
        <w:tc>
          <w:tcPr>
            <w:tcW w:w="7792" w:type="dxa"/>
          </w:tcPr>
          <w:p w:rsidR="008977AA" w:rsidRPr="008977AA" w:rsidRDefault="008977AA" w:rsidP="008977AA">
            <w:pPr>
              <w:outlineLvl w:val="0"/>
              <w:rPr>
                <w:rFonts w:cs="Times New Roman"/>
                <w:b/>
                <w:bCs/>
              </w:rPr>
            </w:pPr>
            <w:r w:rsidRPr="008977AA">
              <w:rPr>
                <w:rFonts w:cs="Times New Roman"/>
                <w:b/>
                <w:bCs/>
              </w:rPr>
              <w:t xml:space="preserve">Livrable 2 : </w:t>
            </w:r>
            <w:r w:rsidRPr="008977AA">
              <w:rPr>
                <w:rFonts w:cs="Times New Roman"/>
                <w:bCs/>
              </w:rPr>
              <w:t>Rapports d’étapes</w:t>
            </w:r>
          </w:p>
        </w:tc>
        <w:tc>
          <w:tcPr>
            <w:tcW w:w="1869" w:type="dxa"/>
            <w:vAlign w:val="center"/>
          </w:tcPr>
          <w:p w:rsidR="008977AA" w:rsidRPr="008977AA" w:rsidRDefault="008977AA" w:rsidP="008977AA">
            <w:pPr>
              <w:jc w:val="center"/>
              <w:outlineLvl w:val="0"/>
              <w:rPr>
                <w:rFonts w:cs="Times New Roman"/>
                <w:b/>
                <w:bCs/>
              </w:rPr>
            </w:pPr>
            <w:r w:rsidRPr="008977AA">
              <w:rPr>
                <w:rFonts w:cs="Times New Roman"/>
                <w:b/>
                <w:bCs/>
              </w:rPr>
              <w:t>26</w:t>
            </w:r>
          </w:p>
        </w:tc>
      </w:tr>
      <w:tr w:rsidR="008977AA" w:rsidRPr="008977AA" w:rsidTr="008703F4">
        <w:trPr>
          <w:jc w:val="center"/>
        </w:trPr>
        <w:tc>
          <w:tcPr>
            <w:tcW w:w="7792" w:type="dxa"/>
          </w:tcPr>
          <w:p w:rsidR="008977AA" w:rsidRPr="008977AA" w:rsidRDefault="008977AA" w:rsidP="00F23140">
            <w:pPr>
              <w:outlineLvl w:val="0"/>
              <w:rPr>
                <w:rFonts w:cs="Times New Roman"/>
                <w:b/>
                <w:bCs/>
              </w:rPr>
            </w:pPr>
            <w:r w:rsidRPr="008977AA">
              <w:rPr>
                <w:rFonts w:cs="Times New Roman"/>
                <w:b/>
                <w:bCs/>
              </w:rPr>
              <w:t xml:space="preserve">Livrable 2: </w:t>
            </w:r>
            <w:r w:rsidRPr="008977AA">
              <w:rPr>
                <w:rFonts w:cs="Times New Roman"/>
                <w:bCs/>
              </w:rPr>
              <w:t xml:space="preserve">Version préliminaire du document de la plateforme stratégique intégrant </w:t>
            </w:r>
            <w:r w:rsidR="00F23140">
              <w:rPr>
                <w:rFonts w:cs="Times New Roman"/>
                <w:bCs/>
              </w:rPr>
              <w:t>le</w:t>
            </w:r>
            <w:r w:rsidRPr="008977AA">
              <w:rPr>
                <w:rFonts w:cs="Times New Roman"/>
                <w:bCs/>
              </w:rPr>
              <w:t xml:space="preserve"> plan d’action de mise en œuvre et </w:t>
            </w:r>
            <w:r w:rsidR="00F23140">
              <w:rPr>
                <w:rFonts w:cs="Times New Roman"/>
                <w:bCs/>
              </w:rPr>
              <w:t xml:space="preserve">les </w:t>
            </w:r>
            <w:r w:rsidRPr="008977AA">
              <w:rPr>
                <w:rFonts w:cs="Times New Roman"/>
                <w:bCs/>
              </w:rPr>
              <w:t>indicateurs de suivi-évaluation</w:t>
            </w:r>
          </w:p>
        </w:tc>
        <w:tc>
          <w:tcPr>
            <w:tcW w:w="1869" w:type="dxa"/>
            <w:vAlign w:val="center"/>
          </w:tcPr>
          <w:p w:rsidR="008977AA" w:rsidRPr="008977AA" w:rsidRDefault="008977AA" w:rsidP="008977AA">
            <w:pPr>
              <w:jc w:val="center"/>
              <w:outlineLvl w:val="0"/>
              <w:rPr>
                <w:rFonts w:cs="Times New Roman"/>
                <w:b/>
                <w:bCs/>
              </w:rPr>
            </w:pPr>
            <w:r w:rsidRPr="008977AA">
              <w:rPr>
                <w:rFonts w:cs="Times New Roman"/>
                <w:b/>
                <w:bCs/>
              </w:rPr>
              <w:t>15</w:t>
            </w:r>
          </w:p>
        </w:tc>
      </w:tr>
      <w:tr w:rsidR="008977AA" w:rsidRPr="008977AA" w:rsidTr="008703F4">
        <w:trPr>
          <w:trHeight w:val="203"/>
          <w:jc w:val="center"/>
        </w:trPr>
        <w:tc>
          <w:tcPr>
            <w:tcW w:w="7792" w:type="dxa"/>
          </w:tcPr>
          <w:p w:rsidR="008977AA" w:rsidRPr="008977AA" w:rsidRDefault="008977AA" w:rsidP="008977AA">
            <w:pPr>
              <w:outlineLvl w:val="0"/>
              <w:rPr>
                <w:rFonts w:cs="Times New Roman"/>
                <w:b/>
                <w:bCs/>
              </w:rPr>
            </w:pPr>
            <w:r w:rsidRPr="008977AA">
              <w:rPr>
                <w:rFonts w:cs="Times New Roman"/>
                <w:b/>
                <w:bCs/>
              </w:rPr>
              <w:t xml:space="preserve">Livrable 3 : </w:t>
            </w:r>
            <w:r w:rsidRPr="008977AA">
              <w:rPr>
                <w:rFonts w:cs="Times New Roman"/>
                <w:bCs/>
              </w:rPr>
              <w:t>Fiche technique de l’atelier de planification stratégique, et rapport de l’atelier</w:t>
            </w:r>
          </w:p>
        </w:tc>
        <w:tc>
          <w:tcPr>
            <w:tcW w:w="1869" w:type="dxa"/>
            <w:vAlign w:val="center"/>
          </w:tcPr>
          <w:p w:rsidR="008977AA" w:rsidRPr="008977AA" w:rsidRDefault="008977AA" w:rsidP="008977AA">
            <w:pPr>
              <w:jc w:val="center"/>
              <w:outlineLvl w:val="0"/>
              <w:rPr>
                <w:rFonts w:cs="Times New Roman"/>
                <w:b/>
                <w:bCs/>
              </w:rPr>
            </w:pPr>
            <w:r w:rsidRPr="008977AA">
              <w:rPr>
                <w:rFonts w:cs="Times New Roman"/>
                <w:b/>
                <w:bCs/>
              </w:rPr>
              <w:t>4</w:t>
            </w:r>
          </w:p>
        </w:tc>
      </w:tr>
      <w:tr w:rsidR="008977AA" w:rsidRPr="008977AA" w:rsidTr="008703F4">
        <w:trPr>
          <w:trHeight w:val="271"/>
          <w:jc w:val="center"/>
        </w:trPr>
        <w:tc>
          <w:tcPr>
            <w:tcW w:w="7792" w:type="dxa"/>
          </w:tcPr>
          <w:p w:rsidR="008977AA" w:rsidRPr="008977AA" w:rsidRDefault="008977AA" w:rsidP="008977AA">
            <w:pPr>
              <w:outlineLvl w:val="0"/>
              <w:rPr>
                <w:rFonts w:cs="Times New Roman"/>
                <w:b/>
                <w:bCs/>
              </w:rPr>
            </w:pPr>
            <w:r w:rsidRPr="008977AA">
              <w:rPr>
                <w:rFonts w:cs="Times New Roman"/>
                <w:b/>
                <w:bCs/>
              </w:rPr>
              <w:t xml:space="preserve">Livrable 4 : </w:t>
            </w:r>
            <w:r w:rsidRPr="008977AA">
              <w:rPr>
                <w:rFonts w:cs="Times New Roman"/>
                <w:bCs/>
              </w:rPr>
              <w:t>Version finale de la plateforme de coordination intégrant son plan d’action de mise en œuvre et indicateurs de suivi validée</w:t>
            </w:r>
          </w:p>
        </w:tc>
        <w:tc>
          <w:tcPr>
            <w:tcW w:w="1869" w:type="dxa"/>
            <w:vAlign w:val="center"/>
          </w:tcPr>
          <w:p w:rsidR="008977AA" w:rsidRPr="008977AA" w:rsidRDefault="008977AA" w:rsidP="008977AA">
            <w:pPr>
              <w:jc w:val="center"/>
              <w:outlineLvl w:val="0"/>
              <w:rPr>
                <w:rFonts w:cs="Times New Roman"/>
                <w:b/>
                <w:bCs/>
              </w:rPr>
            </w:pPr>
            <w:r w:rsidRPr="008977AA">
              <w:rPr>
                <w:rFonts w:cs="Times New Roman"/>
                <w:b/>
                <w:bCs/>
              </w:rPr>
              <w:t>12</w:t>
            </w:r>
          </w:p>
        </w:tc>
      </w:tr>
      <w:tr w:rsidR="008977AA" w:rsidRPr="008977AA" w:rsidTr="008703F4">
        <w:trPr>
          <w:trHeight w:val="91"/>
          <w:jc w:val="center"/>
        </w:trPr>
        <w:tc>
          <w:tcPr>
            <w:tcW w:w="7792" w:type="dxa"/>
          </w:tcPr>
          <w:p w:rsidR="008977AA" w:rsidRPr="008977AA" w:rsidRDefault="008977AA" w:rsidP="00D840B8">
            <w:pPr>
              <w:outlineLvl w:val="0"/>
              <w:rPr>
                <w:rFonts w:cs="Times New Roman"/>
                <w:b/>
                <w:bCs/>
              </w:rPr>
            </w:pPr>
            <w:r w:rsidRPr="008977AA">
              <w:rPr>
                <w:rFonts w:cs="Times New Roman"/>
                <w:b/>
                <w:bCs/>
              </w:rPr>
              <w:t>Total </w:t>
            </w:r>
          </w:p>
        </w:tc>
        <w:tc>
          <w:tcPr>
            <w:tcW w:w="1869" w:type="dxa"/>
            <w:vAlign w:val="center"/>
          </w:tcPr>
          <w:p w:rsidR="008977AA" w:rsidRPr="008977AA" w:rsidRDefault="008977AA" w:rsidP="008977AA">
            <w:pPr>
              <w:jc w:val="center"/>
              <w:outlineLvl w:val="0"/>
              <w:rPr>
                <w:rFonts w:cs="Times New Roman"/>
                <w:b/>
                <w:bCs/>
              </w:rPr>
            </w:pPr>
            <w:r w:rsidRPr="008977AA">
              <w:rPr>
                <w:rFonts w:cs="Times New Roman"/>
                <w:b/>
                <w:bCs/>
              </w:rPr>
              <w:t>60 Jours</w:t>
            </w:r>
          </w:p>
        </w:tc>
      </w:tr>
      <w:tr w:rsidR="008703F4" w:rsidRPr="008977AA" w:rsidTr="008703F4">
        <w:trPr>
          <w:trHeight w:val="91"/>
          <w:jc w:val="center"/>
        </w:trPr>
        <w:tc>
          <w:tcPr>
            <w:tcW w:w="9661" w:type="dxa"/>
            <w:gridSpan w:val="2"/>
          </w:tcPr>
          <w:p w:rsidR="008703F4" w:rsidRPr="008703F4" w:rsidRDefault="008703F4" w:rsidP="008703F4">
            <w:pPr>
              <w:outlineLvl w:val="0"/>
              <w:rPr>
                <w:rFonts w:cs="Times New Roman"/>
                <w:i/>
                <w:iCs/>
              </w:rPr>
            </w:pPr>
            <w:r w:rsidRPr="008703F4">
              <w:rPr>
                <w:rFonts w:cs="Times New Roman"/>
                <w:i/>
                <w:iCs/>
                <w:sz w:val="20"/>
                <w:szCs w:val="20"/>
              </w:rPr>
              <w:t>Cette répartition est à titre indicatif</w:t>
            </w:r>
            <w:r>
              <w:rPr>
                <w:rFonts w:cs="Times New Roman"/>
                <w:i/>
                <w:iCs/>
                <w:sz w:val="20"/>
                <w:szCs w:val="20"/>
              </w:rPr>
              <w:t xml:space="preserve">, </w:t>
            </w:r>
            <w:r w:rsidRPr="008703F4">
              <w:rPr>
                <w:rFonts w:cs="Times New Roman"/>
                <w:i/>
                <w:iCs/>
                <w:sz w:val="20"/>
                <w:szCs w:val="20"/>
              </w:rPr>
              <w:t>le(a) consultant (e)/bureau d’études</w:t>
            </w:r>
            <w:r>
              <w:rPr>
                <w:rFonts w:cs="Times New Roman"/>
                <w:i/>
                <w:iCs/>
                <w:sz w:val="20"/>
                <w:szCs w:val="20"/>
              </w:rPr>
              <w:t xml:space="preserve"> est invité à proposer un calendrier exécutif.</w:t>
            </w:r>
          </w:p>
        </w:tc>
      </w:tr>
    </w:tbl>
    <w:p w:rsidR="00832895" w:rsidRPr="00832895" w:rsidRDefault="00832895" w:rsidP="00207FD1">
      <w:pPr>
        <w:pStyle w:val="Heading1"/>
      </w:pPr>
      <w:r w:rsidRPr="00832895">
        <w:t>Supervision de la consultation</w:t>
      </w:r>
    </w:p>
    <w:p w:rsidR="00832895" w:rsidRPr="00F23140" w:rsidRDefault="00832895" w:rsidP="00F23140">
      <w:pPr>
        <w:spacing w:before="240" w:after="0" w:line="240" w:lineRule="auto"/>
        <w:jc w:val="both"/>
        <w:outlineLvl w:val="0"/>
        <w:rPr>
          <w:rFonts w:cs="Times New Roman"/>
          <w:bCs/>
        </w:rPr>
      </w:pPr>
      <w:r w:rsidRPr="00F23140">
        <w:rPr>
          <w:rFonts w:cs="Times New Roman"/>
          <w:bCs/>
        </w:rPr>
        <w:t>La consultation sera conduite sous la supervision d’un comité de suivi composé des représentants du M</w:t>
      </w:r>
      <w:r w:rsidR="00F23140">
        <w:rPr>
          <w:rFonts w:cs="Times New Roman"/>
          <w:bCs/>
        </w:rPr>
        <w:t>F</w:t>
      </w:r>
      <w:r w:rsidRPr="00F23140">
        <w:rPr>
          <w:rFonts w:cs="Times New Roman"/>
          <w:bCs/>
        </w:rPr>
        <w:t>S</w:t>
      </w:r>
      <w:r w:rsidR="00F23140">
        <w:rPr>
          <w:rFonts w:cs="Times New Roman"/>
          <w:bCs/>
        </w:rPr>
        <w:t>E</w:t>
      </w:r>
      <w:r w:rsidRPr="00F23140">
        <w:rPr>
          <w:rFonts w:cs="Times New Roman"/>
          <w:bCs/>
        </w:rPr>
        <w:t>DS et de l’UNFPA. Ce comité se chargera également de la validation des livrables. Le consultant devra fournir au comité de suivi la version provisoire de chaque livrable au moins dix jours avant la date de la tenue de l’atelier pour qu’elle soit renvoyée aux participants pour avis. Chacun des livrables doit être fournis en version papier paraphée par le consultant et en version électronique.</w:t>
      </w:r>
    </w:p>
    <w:p w:rsidR="00BD4060" w:rsidRPr="00832895" w:rsidRDefault="000B2C2F" w:rsidP="00207FD1">
      <w:pPr>
        <w:pStyle w:val="Heading1"/>
      </w:pPr>
      <w:r w:rsidRPr="00832895">
        <w:t>Modalités contractuelles et financières</w:t>
      </w:r>
    </w:p>
    <w:p w:rsidR="00BD4060" w:rsidRPr="00112BFF" w:rsidRDefault="008703F4" w:rsidP="00BD4060">
      <w:pPr>
        <w:autoSpaceDE w:val="0"/>
        <w:autoSpaceDN w:val="0"/>
        <w:adjustRightInd w:val="0"/>
        <w:spacing w:before="240" w:after="0" w:line="240" w:lineRule="auto"/>
        <w:jc w:val="both"/>
        <w:rPr>
          <w:rFonts w:cs="Times New Roman"/>
        </w:rPr>
      </w:pPr>
      <w:r>
        <w:rPr>
          <w:rFonts w:cs="Times New Roman"/>
        </w:rPr>
        <w:t>Le contrat de la</w:t>
      </w:r>
      <w:r w:rsidR="000B2C2F" w:rsidRPr="00112BFF">
        <w:rPr>
          <w:rFonts w:cs="Times New Roman"/>
        </w:rPr>
        <w:t>dite consultation sera établi entre l</w:t>
      </w:r>
      <w:r w:rsidR="00F23140">
        <w:rPr>
          <w:rFonts w:cs="Times New Roman"/>
        </w:rPr>
        <w:t>e MFSEDS</w:t>
      </w:r>
      <w:r w:rsidR="000B2C2F" w:rsidRPr="00112BFF">
        <w:rPr>
          <w:rFonts w:cs="Times New Roman"/>
        </w:rPr>
        <w:t xml:space="preserve"> le(a) consultant (e)/bureau d’études. Le paiement direct sera effectué conformément aux procédures établies à cette fin et après validation et finalisation des livrables.</w:t>
      </w:r>
    </w:p>
    <w:p w:rsidR="00BD4060" w:rsidRPr="00832895" w:rsidRDefault="000B2C2F" w:rsidP="00207FD1">
      <w:pPr>
        <w:pStyle w:val="Heading1"/>
      </w:pPr>
      <w:r w:rsidRPr="00832895">
        <w:t>Dépôt du dossier de candidature</w:t>
      </w:r>
    </w:p>
    <w:p w:rsidR="00BD4060" w:rsidRPr="00BD73B0" w:rsidRDefault="000B2C2F" w:rsidP="00D0625C">
      <w:pPr>
        <w:spacing w:before="240" w:after="0" w:line="240" w:lineRule="auto"/>
        <w:jc w:val="both"/>
        <w:rPr>
          <w:rFonts w:cs="Times New Roman"/>
        </w:rPr>
      </w:pPr>
      <w:r w:rsidRPr="008977AA">
        <w:rPr>
          <w:rFonts w:cs="Times New Roman"/>
        </w:rPr>
        <w:t>Les candidats/es intéressé/es sont invité/es à envoyer, sous pli fermé, leur offre portant la mention « </w:t>
      </w:r>
      <w:r w:rsidRPr="008977AA">
        <w:rPr>
          <w:rFonts w:cs="Times New Roman"/>
          <w:b/>
          <w:bCs/>
        </w:rPr>
        <w:t>Appel à Consultation pour</w:t>
      </w:r>
      <w:r w:rsidRPr="008977AA">
        <w:rPr>
          <w:rFonts w:cs="Times New Roman"/>
          <w:b/>
          <w:bCs/>
          <w:color w:val="231F20"/>
        </w:rPr>
        <w:t xml:space="preserve"> le développement </w:t>
      </w:r>
      <w:r w:rsidRPr="008977AA">
        <w:rPr>
          <w:rFonts w:cs="Times New Roman"/>
          <w:b/>
          <w:color w:val="231F20"/>
        </w:rPr>
        <w:t>d’une plateforme stratégique de coordination et de communication dans le domaine de la Prise en charge des Femmes Victimes de Violence</w:t>
      </w:r>
      <w:r w:rsidRPr="008977AA">
        <w:rPr>
          <w:rFonts w:cs="Times New Roman"/>
        </w:rPr>
        <w:t xml:space="preserve">» à l’adresse suivante : </w:t>
      </w:r>
      <w:r w:rsidRPr="008977AA">
        <w:rPr>
          <w:rFonts w:cs="Times New Roman"/>
          <w:b/>
          <w:bCs/>
        </w:rPr>
        <w:t>Ministère de la Solidarité, de la Famille</w:t>
      </w:r>
      <w:r w:rsidR="00F23140">
        <w:rPr>
          <w:rFonts w:cs="Times New Roman"/>
          <w:b/>
          <w:bCs/>
        </w:rPr>
        <w:t>, de l’Egalité</w:t>
      </w:r>
      <w:r w:rsidRPr="008977AA">
        <w:rPr>
          <w:rFonts w:cs="Times New Roman"/>
          <w:b/>
          <w:bCs/>
        </w:rPr>
        <w:t xml:space="preserve"> et du Développement Social – Service de la Coopération Bilatérale et Multilatérale,47, Avenue Ibn </w:t>
      </w:r>
      <w:r w:rsidRPr="00BD73B0">
        <w:rPr>
          <w:rFonts w:cs="Times New Roman"/>
          <w:b/>
          <w:bCs/>
        </w:rPr>
        <w:t>Sina – Agdal, Rabat – Maroc</w:t>
      </w:r>
      <w:r w:rsidR="00F23140" w:rsidRPr="00BD73B0">
        <w:rPr>
          <w:rFonts w:cs="Times New Roman"/>
          <w:b/>
          <w:bCs/>
        </w:rPr>
        <w:t xml:space="preserve"> </w:t>
      </w:r>
      <w:r w:rsidRPr="00BD73B0">
        <w:rPr>
          <w:rFonts w:cs="Times New Roman"/>
        </w:rPr>
        <w:t xml:space="preserve">au plus tard </w:t>
      </w:r>
      <w:r w:rsidRPr="00BD73B0">
        <w:rPr>
          <w:rFonts w:cs="Times New Roman"/>
          <w:b/>
          <w:bCs/>
        </w:rPr>
        <w:t>le</w:t>
      </w:r>
      <w:r w:rsidR="00BD73B0" w:rsidRPr="00BD73B0">
        <w:rPr>
          <w:rFonts w:cs="Times New Roman"/>
          <w:b/>
          <w:bCs/>
        </w:rPr>
        <w:t xml:space="preserve"> </w:t>
      </w:r>
      <w:r w:rsidR="00D0625C">
        <w:rPr>
          <w:rFonts w:cs="Times New Roman"/>
          <w:b/>
          <w:bCs/>
        </w:rPr>
        <w:t>08</w:t>
      </w:r>
      <w:r w:rsidR="00BD73B0" w:rsidRPr="00BD73B0">
        <w:rPr>
          <w:rFonts w:cs="Times New Roman"/>
          <w:b/>
          <w:bCs/>
        </w:rPr>
        <w:t xml:space="preserve"> </w:t>
      </w:r>
      <w:r w:rsidR="00F23140" w:rsidRPr="00BD73B0">
        <w:rPr>
          <w:rFonts w:cs="Times New Roman"/>
          <w:b/>
          <w:bCs/>
        </w:rPr>
        <w:t>M</w:t>
      </w:r>
      <w:r w:rsidRPr="00BD73B0">
        <w:rPr>
          <w:rFonts w:cs="Times New Roman"/>
          <w:b/>
          <w:bCs/>
        </w:rPr>
        <w:t>a</w:t>
      </w:r>
      <w:r w:rsidR="00F23140" w:rsidRPr="00BD73B0">
        <w:rPr>
          <w:rFonts w:cs="Times New Roman"/>
          <w:b/>
          <w:bCs/>
        </w:rPr>
        <w:t>i</w:t>
      </w:r>
      <w:r w:rsidRPr="00BD73B0">
        <w:rPr>
          <w:rFonts w:cs="Times New Roman"/>
          <w:b/>
          <w:bCs/>
        </w:rPr>
        <w:t xml:space="preserve"> 2017 à 16h00</w:t>
      </w:r>
      <w:r w:rsidRPr="00BD73B0">
        <w:rPr>
          <w:rFonts w:cs="Times New Roman"/>
        </w:rPr>
        <w:t>, date et heure limites de réception des candidatures.</w:t>
      </w:r>
    </w:p>
    <w:p w:rsidR="004A488D" w:rsidRPr="008977AA" w:rsidRDefault="000B2C2F" w:rsidP="004A488D">
      <w:pPr>
        <w:spacing w:after="0" w:line="240" w:lineRule="auto"/>
        <w:jc w:val="both"/>
        <w:rPr>
          <w:rFonts w:cs="Times New Roman"/>
        </w:rPr>
      </w:pPr>
      <w:r w:rsidRPr="008977AA">
        <w:rPr>
          <w:rFonts w:cs="Times New Roman"/>
        </w:rPr>
        <w:t xml:space="preserve">Les jours et horaires de réception sont du lundi au vendredi inclus de 10 à 16 heures et jusqu’à expiration du délai. </w:t>
      </w:r>
    </w:p>
    <w:p w:rsidR="004A488D" w:rsidRPr="008977AA" w:rsidRDefault="000B2C2F" w:rsidP="004A488D">
      <w:pPr>
        <w:spacing w:after="0" w:line="240" w:lineRule="auto"/>
        <w:jc w:val="both"/>
        <w:rPr>
          <w:rFonts w:cs="Times New Roman"/>
        </w:rPr>
      </w:pPr>
      <w:r w:rsidRPr="008977AA">
        <w:rPr>
          <w:rFonts w:cs="Times New Roman"/>
        </w:rPr>
        <w:t xml:space="preserve">Les dossiers qui parviendraient après la date et heure limites fixées ci-dessus ne seront pas pris en compte. </w:t>
      </w:r>
    </w:p>
    <w:p w:rsidR="005B577A" w:rsidRDefault="004A488D" w:rsidP="00111D23">
      <w:pPr>
        <w:spacing w:after="0" w:line="240" w:lineRule="auto"/>
        <w:jc w:val="both"/>
        <w:rPr>
          <w:sz w:val="24"/>
          <w:szCs w:val="24"/>
        </w:rPr>
      </w:pPr>
      <w:r w:rsidRPr="008977AA">
        <w:rPr>
          <w:rFonts w:cs="Times New Roman"/>
        </w:rPr>
        <w:t>Les candidats doivent assumer les risques inhérents au délai d’acheminement par un tiers porteur.</w:t>
      </w:r>
    </w:p>
    <w:sectPr w:rsidR="005B577A" w:rsidSect="00DF0D1B">
      <w:headerReference w:type="default" r:id="rId12"/>
      <w:footerReference w:type="default" r:id="rId13"/>
      <w:pgSz w:w="11906" w:h="16838"/>
      <w:pgMar w:top="567" w:right="1417" w:bottom="1417" w:left="1417"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66" w:rsidRDefault="00D95866" w:rsidP="00714F09">
      <w:pPr>
        <w:spacing w:after="0" w:line="240" w:lineRule="auto"/>
      </w:pPr>
      <w:r>
        <w:separator/>
      </w:r>
    </w:p>
  </w:endnote>
  <w:endnote w:type="continuationSeparator" w:id="0">
    <w:p w:rsidR="00D95866" w:rsidRDefault="00D95866" w:rsidP="0071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02752"/>
      <w:docPartObj>
        <w:docPartGallery w:val="Page Numbers (Bottom of Page)"/>
        <w:docPartUnique/>
      </w:docPartObj>
    </w:sdtPr>
    <w:sdtEndPr/>
    <w:sdtContent>
      <w:sdt>
        <w:sdtPr>
          <w:id w:val="-1182123196"/>
          <w:docPartObj>
            <w:docPartGallery w:val="Page Numbers (Top of Page)"/>
            <w:docPartUnique/>
          </w:docPartObj>
        </w:sdtPr>
        <w:sdtEndPr/>
        <w:sdtContent>
          <w:p w:rsidR="00111D23" w:rsidRDefault="00111D23" w:rsidP="00111D23">
            <w:pPr>
              <w:pStyle w:val="Footer"/>
              <w:pBdr>
                <w:top w:val="single" w:sz="4" w:space="1" w:color="auto"/>
              </w:pBdr>
              <w:jc w:val="right"/>
            </w:pPr>
            <w:r>
              <w:t xml:space="preserve">Page </w:t>
            </w:r>
            <w:r w:rsidR="00A92161">
              <w:rPr>
                <w:b/>
                <w:bCs/>
                <w:sz w:val="24"/>
                <w:szCs w:val="24"/>
              </w:rPr>
              <w:fldChar w:fldCharType="begin"/>
            </w:r>
            <w:r>
              <w:rPr>
                <w:b/>
                <w:bCs/>
              </w:rPr>
              <w:instrText>PAGE</w:instrText>
            </w:r>
            <w:r w:rsidR="00A92161">
              <w:rPr>
                <w:b/>
                <w:bCs/>
                <w:sz w:val="24"/>
                <w:szCs w:val="24"/>
              </w:rPr>
              <w:fldChar w:fldCharType="separate"/>
            </w:r>
            <w:r w:rsidR="0015740A">
              <w:rPr>
                <w:b/>
                <w:bCs/>
                <w:noProof/>
              </w:rPr>
              <w:t>2</w:t>
            </w:r>
            <w:r w:rsidR="00A92161">
              <w:rPr>
                <w:b/>
                <w:bCs/>
                <w:sz w:val="24"/>
                <w:szCs w:val="24"/>
              </w:rPr>
              <w:fldChar w:fldCharType="end"/>
            </w:r>
            <w:r>
              <w:t xml:space="preserve"> sur </w:t>
            </w:r>
            <w:r w:rsidR="00A92161">
              <w:rPr>
                <w:b/>
                <w:bCs/>
                <w:sz w:val="24"/>
                <w:szCs w:val="24"/>
              </w:rPr>
              <w:fldChar w:fldCharType="begin"/>
            </w:r>
            <w:r>
              <w:rPr>
                <w:b/>
                <w:bCs/>
              </w:rPr>
              <w:instrText>NUMPAGES</w:instrText>
            </w:r>
            <w:r w:rsidR="00A92161">
              <w:rPr>
                <w:b/>
                <w:bCs/>
                <w:sz w:val="24"/>
                <w:szCs w:val="24"/>
              </w:rPr>
              <w:fldChar w:fldCharType="separate"/>
            </w:r>
            <w:r w:rsidR="0015740A">
              <w:rPr>
                <w:b/>
                <w:bCs/>
                <w:noProof/>
              </w:rPr>
              <w:t>5</w:t>
            </w:r>
            <w:r w:rsidR="00A92161">
              <w:rPr>
                <w:b/>
                <w:bCs/>
                <w:sz w:val="24"/>
                <w:szCs w:val="24"/>
              </w:rPr>
              <w:fldChar w:fldCharType="end"/>
            </w:r>
          </w:p>
        </w:sdtContent>
      </w:sdt>
    </w:sdtContent>
  </w:sdt>
  <w:p w:rsidR="00A47264" w:rsidRDefault="00A47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66" w:rsidRDefault="00D95866" w:rsidP="00714F09">
      <w:pPr>
        <w:spacing w:after="0" w:line="240" w:lineRule="auto"/>
      </w:pPr>
      <w:r>
        <w:separator/>
      </w:r>
    </w:p>
  </w:footnote>
  <w:footnote w:type="continuationSeparator" w:id="0">
    <w:p w:rsidR="00D95866" w:rsidRDefault="00D95866" w:rsidP="0071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64" w:rsidRDefault="00A47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CF6"/>
    <w:multiLevelType w:val="hybridMultilevel"/>
    <w:tmpl w:val="85FA6A98"/>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C3943"/>
    <w:multiLevelType w:val="hybridMultilevel"/>
    <w:tmpl w:val="E3C0BA9A"/>
    <w:lvl w:ilvl="0" w:tplc="FC90D88E">
      <w:start w:val="3"/>
      <w:numFmt w:val="bullet"/>
      <w:lvlText w:val="-"/>
      <w:lvlJc w:val="left"/>
      <w:pPr>
        <w:ind w:left="360" w:hanging="360"/>
      </w:pPr>
      <w:rPr>
        <w:rFonts w:ascii="Calibri" w:eastAsiaTheme="minorHAnsi" w:hAnsi="Calibri" w:cs="Calibri,Bol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7D7A69"/>
    <w:multiLevelType w:val="multilevel"/>
    <w:tmpl w:val="8124C482"/>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4D4CF9"/>
    <w:multiLevelType w:val="hybridMultilevel"/>
    <w:tmpl w:val="7F72C5FA"/>
    <w:lvl w:ilvl="0" w:tplc="5EEA9C12">
      <w:numFmt w:val="bullet"/>
      <w:lvlText w:val="-"/>
      <w:lvlJc w:val="left"/>
      <w:pPr>
        <w:ind w:left="786" w:hanging="360"/>
      </w:pPr>
      <w:rPr>
        <w:rFonts w:ascii="Arial" w:eastAsia="Times New Roman" w:hAnsi="Arial"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235534ED"/>
    <w:multiLevelType w:val="hybridMultilevel"/>
    <w:tmpl w:val="0D749B96"/>
    <w:lvl w:ilvl="0" w:tplc="FC90D88E">
      <w:start w:val="3"/>
      <w:numFmt w:val="bullet"/>
      <w:lvlText w:val="-"/>
      <w:lvlJc w:val="left"/>
      <w:pPr>
        <w:ind w:left="360" w:hanging="360"/>
      </w:pPr>
      <w:rPr>
        <w:rFonts w:ascii="Calibri" w:eastAsiaTheme="minorHAnsi" w:hAnsi="Calibri" w:cs="Calibri,Bold"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nsid w:val="253528FD"/>
    <w:multiLevelType w:val="hybridMultilevel"/>
    <w:tmpl w:val="7658ABDE"/>
    <w:lvl w:ilvl="0" w:tplc="FC90D88E">
      <w:start w:val="3"/>
      <w:numFmt w:val="bullet"/>
      <w:lvlText w:val="-"/>
      <w:lvlJc w:val="left"/>
      <w:pPr>
        <w:ind w:left="786" w:hanging="360"/>
      </w:pPr>
      <w:rPr>
        <w:rFonts w:ascii="Calibri" w:eastAsiaTheme="minorHAnsi" w:hAnsi="Calibri" w:cs="Calibri,Bold"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6A953AD"/>
    <w:multiLevelType w:val="hybridMultilevel"/>
    <w:tmpl w:val="CD7A42B6"/>
    <w:lvl w:ilvl="0" w:tplc="FC90D88E">
      <w:start w:val="3"/>
      <w:numFmt w:val="bullet"/>
      <w:lvlText w:val="-"/>
      <w:lvlJc w:val="left"/>
      <w:pPr>
        <w:ind w:left="360" w:hanging="360"/>
      </w:pPr>
      <w:rPr>
        <w:rFonts w:ascii="Calibri" w:eastAsiaTheme="minorHAnsi" w:hAnsi="Calibri" w:cs="Calibri,Bol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E24351"/>
    <w:multiLevelType w:val="hybridMultilevel"/>
    <w:tmpl w:val="58227E84"/>
    <w:lvl w:ilvl="0" w:tplc="77C40C6A">
      <w:numFmt w:val="bullet"/>
      <w:lvlText w:val="-"/>
      <w:lvlJc w:val="left"/>
      <w:pPr>
        <w:ind w:left="720" w:hanging="360"/>
      </w:pPr>
      <w:rPr>
        <w:rFonts w:ascii="Arial" w:eastAsia="Times New Roman" w:hAnsi="Arial" w:cs="Onyx"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EB0FF8"/>
    <w:multiLevelType w:val="hybridMultilevel"/>
    <w:tmpl w:val="0F1AB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2610D7"/>
    <w:multiLevelType w:val="hybridMultilevel"/>
    <w:tmpl w:val="6E589FDE"/>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7E0484"/>
    <w:multiLevelType w:val="hybridMultilevel"/>
    <w:tmpl w:val="C89EDB8E"/>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0262D3"/>
    <w:multiLevelType w:val="hybridMultilevel"/>
    <w:tmpl w:val="251C1236"/>
    <w:lvl w:ilvl="0" w:tplc="FC90D88E">
      <w:start w:val="3"/>
      <w:numFmt w:val="bullet"/>
      <w:lvlText w:val="-"/>
      <w:lvlJc w:val="left"/>
      <w:pPr>
        <w:ind w:left="720" w:hanging="360"/>
      </w:pPr>
      <w:rPr>
        <w:rFonts w:ascii="Calibri" w:eastAsiaTheme="minorHAnsi" w:hAnsi="Calibri"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330AB5"/>
    <w:multiLevelType w:val="hybridMultilevel"/>
    <w:tmpl w:val="E2EC2DBE"/>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D56961"/>
    <w:multiLevelType w:val="hybridMultilevel"/>
    <w:tmpl w:val="D3BA1824"/>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3"/>
  </w:num>
  <w:num w:numId="5">
    <w:abstractNumId w:val="0"/>
  </w:num>
  <w:num w:numId="6">
    <w:abstractNumId w:val="12"/>
  </w:num>
  <w:num w:numId="7">
    <w:abstractNumId w:val="10"/>
  </w:num>
  <w:num w:numId="8">
    <w:abstractNumId w:val="9"/>
  </w:num>
  <w:num w:numId="9">
    <w:abstractNumId w:val="3"/>
  </w:num>
  <w:num w:numId="10">
    <w:abstractNumId w:val="11"/>
  </w:num>
  <w:num w:numId="11">
    <w:abstractNumId w:val="4"/>
  </w:num>
  <w:num w:numId="12">
    <w:abstractNumId w:val="1"/>
  </w:num>
  <w:num w:numId="13">
    <w:abstractNumId w:val="6"/>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D5"/>
    <w:rsid w:val="00001F90"/>
    <w:rsid w:val="00014FD8"/>
    <w:rsid w:val="0002591B"/>
    <w:rsid w:val="0003062F"/>
    <w:rsid w:val="00042DE3"/>
    <w:rsid w:val="00062D9B"/>
    <w:rsid w:val="00065436"/>
    <w:rsid w:val="00077F4B"/>
    <w:rsid w:val="000B2C2F"/>
    <w:rsid w:val="000C3A0F"/>
    <w:rsid w:val="000E5BB4"/>
    <w:rsid w:val="000F6E4C"/>
    <w:rsid w:val="001051E8"/>
    <w:rsid w:val="0010770C"/>
    <w:rsid w:val="00111D23"/>
    <w:rsid w:val="00112BFF"/>
    <w:rsid w:val="0012793F"/>
    <w:rsid w:val="00131A09"/>
    <w:rsid w:val="00152B3D"/>
    <w:rsid w:val="0015740A"/>
    <w:rsid w:val="001A1405"/>
    <w:rsid w:val="001A1D93"/>
    <w:rsid w:val="001A62A2"/>
    <w:rsid w:val="001C2F27"/>
    <w:rsid w:val="001D5772"/>
    <w:rsid w:val="002059E4"/>
    <w:rsid w:val="00207FD1"/>
    <w:rsid w:val="00224156"/>
    <w:rsid w:val="00224229"/>
    <w:rsid w:val="00234FC9"/>
    <w:rsid w:val="0024275B"/>
    <w:rsid w:val="00292A41"/>
    <w:rsid w:val="00292A53"/>
    <w:rsid w:val="002A69CB"/>
    <w:rsid w:val="002B28DA"/>
    <w:rsid w:val="002C32C3"/>
    <w:rsid w:val="002D11EC"/>
    <w:rsid w:val="002E1E7B"/>
    <w:rsid w:val="002E3537"/>
    <w:rsid w:val="002E3637"/>
    <w:rsid w:val="002E4400"/>
    <w:rsid w:val="002E6D0F"/>
    <w:rsid w:val="002E7FFB"/>
    <w:rsid w:val="002F2A3B"/>
    <w:rsid w:val="002F51A0"/>
    <w:rsid w:val="002F6BAF"/>
    <w:rsid w:val="00300F8D"/>
    <w:rsid w:val="00302095"/>
    <w:rsid w:val="00302B50"/>
    <w:rsid w:val="00303FDE"/>
    <w:rsid w:val="003147F1"/>
    <w:rsid w:val="00324D86"/>
    <w:rsid w:val="00342E57"/>
    <w:rsid w:val="00347DD7"/>
    <w:rsid w:val="003549E7"/>
    <w:rsid w:val="00384819"/>
    <w:rsid w:val="00385AEC"/>
    <w:rsid w:val="003A5B30"/>
    <w:rsid w:val="003C0427"/>
    <w:rsid w:val="003D6E1A"/>
    <w:rsid w:val="003E72B2"/>
    <w:rsid w:val="003F5A52"/>
    <w:rsid w:val="003F60B8"/>
    <w:rsid w:val="00400E46"/>
    <w:rsid w:val="004312A6"/>
    <w:rsid w:val="00467350"/>
    <w:rsid w:val="00467B6A"/>
    <w:rsid w:val="00470252"/>
    <w:rsid w:val="00485F23"/>
    <w:rsid w:val="004A0ED1"/>
    <w:rsid w:val="004A488D"/>
    <w:rsid w:val="004A5DD3"/>
    <w:rsid w:val="004A6189"/>
    <w:rsid w:val="004B7039"/>
    <w:rsid w:val="004C3560"/>
    <w:rsid w:val="004C4E75"/>
    <w:rsid w:val="004D74B6"/>
    <w:rsid w:val="004E194C"/>
    <w:rsid w:val="00502B65"/>
    <w:rsid w:val="00507641"/>
    <w:rsid w:val="00523E2D"/>
    <w:rsid w:val="00527351"/>
    <w:rsid w:val="00535F91"/>
    <w:rsid w:val="0054394C"/>
    <w:rsid w:val="005526A5"/>
    <w:rsid w:val="00552766"/>
    <w:rsid w:val="00556FA2"/>
    <w:rsid w:val="00557D21"/>
    <w:rsid w:val="00573AE4"/>
    <w:rsid w:val="00575FCD"/>
    <w:rsid w:val="00591C55"/>
    <w:rsid w:val="00592063"/>
    <w:rsid w:val="00595816"/>
    <w:rsid w:val="005A4C2A"/>
    <w:rsid w:val="005B3982"/>
    <w:rsid w:val="005B577A"/>
    <w:rsid w:val="005B6227"/>
    <w:rsid w:val="005B7BE4"/>
    <w:rsid w:val="005F1D4C"/>
    <w:rsid w:val="00621C64"/>
    <w:rsid w:val="00621CAC"/>
    <w:rsid w:val="00623A07"/>
    <w:rsid w:val="0062496A"/>
    <w:rsid w:val="00637A4D"/>
    <w:rsid w:val="00643ABA"/>
    <w:rsid w:val="00654EC9"/>
    <w:rsid w:val="00672DCE"/>
    <w:rsid w:val="00674131"/>
    <w:rsid w:val="00681B64"/>
    <w:rsid w:val="00686F7A"/>
    <w:rsid w:val="00692E18"/>
    <w:rsid w:val="00694556"/>
    <w:rsid w:val="006A2E79"/>
    <w:rsid w:val="006A7062"/>
    <w:rsid w:val="006C72BE"/>
    <w:rsid w:val="006C7C14"/>
    <w:rsid w:val="006D1596"/>
    <w:rsid w:val="00714F09"/>
    <w:rsid w:val="007154E8"/>
    <w:rsid w:val="00715738"/>
    <w:rsid w:val="00716AF0"/>
    <w:rsid w:val="00721F30"/>
    <w:rsid w:val="00724084"/>
    <w:rsid w:val="0073790B"/>
    <w:rsid w:val="0074574C"/>
    <w:rsid w:val="00747A7F"/>
    <w:rsid w:val="00751D4D"/>
    <w:rsid w:val="007718E7"/>
    <w:rsid w:val="00781003"/>
    <w:rsid w:val="00794793"/>
    <w:rsid w:val="00796806"/>
    <w:rsid w:val="00796F8A"/>
    <w:rsid w:val="007A0777"/>
    <w:rsid w:val="007C0947"/>
    <w:rsid w:val="007C453D"/>
    <w:rsid w:val="007F32B5"/>
    <w:rsid w:val="007F33D1"/>
    <w:rsid w:val="0080127D"/>
    <w:rsid w:val="008014B7"/>
    <w:rsid w:val="00802F9E"/>
    <w:rsid w:val="00806E6B"/>
    <w:rsid w:val="00811370"/>
    <w:rsid w:val="00831A0A"/>
    <w:rsid w:val="00832895"/>
    <w:rsid w:val="008654E8"/>
    <w:rsid w:val="008703F4"/>
    <w:rsid w:val="00883A3B"/>
    <w:rsid w:val="00887EA0"/>
    <w:rsid w:val="00891CED"/>
    <w:rsid w:val="00892BA1"/>
    <w:rsid w:val="008977AA"/>
    <w:rsid w:val="008B320F"/>
    <w:rsid w:val="008C39C3"/>
    <w:rsid w:val="008F2D73"/>
    <w:rsid w:val="00917335"/>
    <w:rsid w:val="009478D8"/>
    <w:rsid w:val="00950A34"/>
    <w:rsid w:val="009520D3"/>
    <w:rsid w:val="00974900"/>
    <w:rsid w:val="00993A2C"/>
    <w:rsid w:val="009A0004"/>
    <w:rsid w:val="009B392D"/>
    <w:rsid w:val="009B4C33"/>
    <w:rsid w:val="009D40C8"/>
    <w:rsid w:val="009D4206"/>
    <w:rsid w:val="009D5201"/>
    <w:rsid w:val="009E0CA6"/>
    <w:rsid w:val="00A27E15"/>
    <w:rsid w:val="00A315D9"/>
    <w:rsid w:val="00A31990"/>
    <w:rsid w:val="00A47264"/>
    <w:rsid w:val="00A56142"/>
    <w:rsid w:val="00A92161"/>
    <w:rsid w:val="00A94326"/>
    <w:rsid w:val="00A97052"/>
    <w:rsid w:val="00AA2974"/>
    <w:rsid w:val="00AA2C6B"/>
    <w:rsid w:val="00AB3FF6"/>
    <w:rsid w:val="00AB4B0C"/>
    <w:rsid w:val="00AC536F"/>
    <w:rsid w:val="00AC6434"/>
    <w:rsid w:val="00AE2BC5"/>
    <w:rsid w:val="00AE58FD"/>
    <w:rsid w:val="00AF664F"/>
    <w:rsid w:val="00B0648A"/>
    <w:rsid w:val="00B13471"/>
    <w:rsid w:val="00B24D23"/>
    <w:rsid w:val="00B25EE8"/>
    <w:rsid w:val="00B304BE"/>
    <w:rsid w:val="00B6136A"/>
    <w:rsid w:val="00B66127"/>
    <w:rsid w:val="00B73C33"/>
    <w:rsid w:val="00BB108A"/>
    <w:rsid w:val="00BB52FE"/>
    <w:rsid w:val="00BD4060"/>
    <w:rsid w:val="00BD73B0"/>
    <w:rsid w:val="00BE2FD5"/>
    <w:rsid w:val="00BF09EF"/>
    <w:rsid w:val="00BF3C85"/>
    <w:rsid w:val="00C42F4F"/>
    <w:rsid w:val="00C768E5"/>
    <w:rsid w:val="00C96F95"/>
    <w:rsid w:val="00CA7331"/>
    <w:rsid w:val="00CD063F"/>
    <w:rsid w:val="00CE782D"/>
    <w:rsid w:val="00CF0B95"/>
    <w:rsid w:val="00D00B61"/>
    <w:rsid w:val="00D0334C"/>
    <w:rsid w:val="00D0625C"/>
    <w:rsid w:val="00D13D1D"/>
    <w:rsid w:val="00D14878"/>
    <w:rsid w:val="00D15133"/>
    <w:rsid w:val="00D1764D"/>
    <w:rsid w:val="00D34537"/>
    <w:rsid w:val="00D44351"/>
    <w:rsid w:val="00D502D9"/>
    <w:rsid w:val="00D52017"/>
    <w:rsid w:val="00D562D5"/>
    <w:rsid w:val="00D6084F"/>
    <w:rsid w:val="00D73ABA"/>
    <w:rsid w:val="00D840B8"/>
    <w:rsid w:val="00D87205"/>
    <w:rsid w:val="00D87FF9"/>
    <w:rsid w:val="00D95866"/>
    <w:rsid w:val="00DA0EE9"/>
    <w:rsid w:val="00DA7D34"/>
    <w:rsid w:val="00DB4411"/>
    <w:rsid w:val="00DB7C48"/>
    <w:rsid w:val="00DE7FCE"/>
    <w:rsid w:val="00DF0D1B"/>
    <w:rsid w:val="00DF73EA"/>
    <w:rsid w:val="00E03BB5"/>
    <w:rsid w:val="00E04ECF"/>
    <w:rsid w:val="00E3004A"/>
    <w:rsid w:val="00E3069D"/>
    <w:rsid w:val="00E44900"/>
    <w:rsid w:val="00E4714B"/>
    <w:rsid w:val="00E75329"/>
    <w:rsid w:val="00E84B70"/>
    <w:rsid w:val="00E975DE"/>
    <w:rsid w:val="00EA5132"/>
    <w:rsid w:val="00EB7204"/>
    <w:rsid w:val="00EF434A"/>
    <w:rsid w:val="00F12B44"/>
    <w:rsid w:val="00F1654E"/>
    <w:rsid w:val="00F17CC8"/>
    <w:rsid w:val="00F23140"/>
    <w:rsid w:val="00F412EC"/>
    <w:rsid w:val="00F42A60"/>
    <w:rsid w:val="00F46361"/>
    <w:rsid w:val="00F76998"/>
    <w:rsid w:val="00F91CC2"/>
    <w:rsid w:val="00FA6935"/>
    <w:rsid w:val="00FD256A"/>
    <w:rsid w:val="00FF4AE8"/>
    <w:rsid w:val="00FF59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61"/>
  </w:style>
  <w:style w:type="paragraph" w:styleId="Heading1">
    <w:name w:val="heading 1"/>
    <w:basedOn w:val="Normal"/>
    <w:next w:val="Normal"/>
    <w:link w:val="Heading1Char"/>
    <w:autoRedefine/>
    <w:uiPriority w:val="9"/>
    <w:qFormat/>
    <w:rsid w:val="00207FD1"/>
    <w:pPr>
      <w:keepNext/>
      <w:keepLines/>
      <w:numPr>
        <w:numId w:val="14"/>
      </w:numPr>
      <w:tabs>
        <w:tab w:val="left" w:pos="284"/>
      </w:tabs>
      <w:spacing w:before="240" w:after="0"/>
      <w:ind w:left="0" w:firstLine="0"/>
      <w:outlineLvl w:val="0"/>
    </w:pPr>
    <w:rPr>
      <w:rFonts w:asciiTheme="majorHAnsi" w:eastAsiaTheme="majorEastAsia" w:hAnsiTheme="majorHAnsi" w:cstheme="majorBidi"/>
      <w:b/>
      <w:bCs/>
      <w:u w:val="single"/>
    </w:rPr>
  </w:style>
  <w:style w:type="paragraph" w:styleId="Heading2">
    <w:name w:val="heading 2"/>
    <w:basedOn w:val="Normal"/>
    <w:next w:val="Normal"/>
    <w:link w:val="Heading2Char"/>
    <w:uiPriority w:val="9"/>
    <w:qFormat/>
    <w:rsid w:val="006D159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7F"/>
    <w:pPr>
      <w:ind w:left="720"/>
      <w:contextualSpacing/>
    </w:pPr>
  </w:style>
  <w:style w:type="paragraph" w:styleId="BodyText">
    <w:name w:val="Body Text"/>
    <w:basedOn w:val="Normal"/>
    <w:link w:val="BodyTextChar"/>
    <w:rsid w:val="00B1347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34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F1"/>
    <w:rPr>
      <w:rFonts w:ascii="Tahoma" w:hAnsi="Tahoma" w:cs="Tahoma"/>
      <w:sz w:val="16"/>
      <w:szCs w:val="16"/>
    </w:rPr>
  </w:style>
  <w:style w:type="paragraph" w:styleId="Header">
    <w:name w:val="header"/>
    <w:basedOn w:val="Normal"/>
    <w:link w:val="HeaderChar"/>
    <w:uiPriority w:val="99"/>
    <w:semiHidden/>
    <w:unhideWhenUsed/>
    <w:rsid w:val="00714F0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4F09"/>
  </w:style>
  <w:style w:type="paragraph" w:styleId="Footer">
    <w:name w:val="footer"/>
    <w:basedOn w:val="Normal"/>
    <w:link w:val="FooterChar"/>
    <w:uiPriority w:val="99"/>
    <w:unhideWhenUsed/>
    <w:rsid w:val="00714F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F09"/>
  </w:style>
  <w:style w:type="table" w:styleId="TableGrid">
    <w:name w:val="Table Grid"/>
    <w:basedOn w:val="TableNormal"/>
    <w:uiPriority w:val="59"/>
    <w:rsid w:val="00C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4900"/>
    <w:rPr>
      <w:i/>
      <w:iCs/>
    </w:rPr>
  </w:style>
  <w:style w:type="character" w:customStyle="1" w:styleId="apple-converted-space">
    <w:name w:val="apple-converted-space"/>
    <w:basedOn w:val="DefaultParagraphFont"/>
    <w:rsid w:val="00974900"/>
  </w:style>
  <w:style w:type="paragraph" w:customStyle="1" w:styleId="Default">
    <w:name w:val="Default"/>
    <w:rsid w:val="00400E4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7FD1"/>
    <w:rPr>
      <w:rFonts w:asciiTheme="majorHAnsi" w:eastAsiaTheme="majorEastAsia" w:hAnsiTheme="majorHAnsi" w:cstheme="majorBidi"/>
      <w:b/>
      <w:bCs/>
      <w:u w:val="single"/>
    </w:rPr>
  </w:style>
  <w:style w:type="character" w:customStyle="1" w:styleId="Heading2Char">
    <w:name w:val="Heading 2 Char"/>
    <w:basedOn w:val="DefaultParagraphFont"/>
    <w:link w:val="Heading2"/>
    <w:uiPriority w:val="9"/>
    <w:rsid w:val="006D1596"/>
    <w:rPr>
      <w:rFonts w:ascii="Cambria" w:eastAsia="Times New Roman" w:hAnsi="Cambria" w:cs="Times New Roman"/>
      <w:b/>
      <w:bCs/>
      <w:i/>
      <w:iCs/>
      <w:color w:val="943634"/>
      <w:lang w:eastAsia="en-US" w:bidi="en-US"/>
    </w:rPr>
  </w:style>
  <w:style w:type="character" w:customStyle="1" w:styleId="ListParagraphChar">
    <w:name w:val="List Paragraph Char"/>
    <w:link w:val="ListParagraph"/>
    <w:uiPriority w:val="34"/>
    <w:rsid w:val="00D3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61"/>
  </w:style>
  <w:style w:type="paragraph" w:styleId="Heading1">
    <w:name w:val="heading 1"/>
    <w:basedOn w:val="Normal"/>
    <w:next w:val="Normal"/>
    <w:link w:val="Heading1Char"/>
    <w:autoRedefine/>
    <w:uiPriority w:val="9"/>
    <w:qFormat/>
    <w:rsid w:val="00207FD1"/>
    <w:pPr>
      <w:keepNext/>
      <w:keepLines/>
      <w:numPr>
        <w:numId w:val="14"/>
      </w:numPr>
      <w:tabs>
        <w:tab w:val="left" w:pos="284"/>
      </w:tabs>
      <w:spacing w:before="240" w:after="0"/>
      <w:ind w:left="0" w:firstLine="0"/>
      <w:outlineLvl w:val="0"/>
    </w:pPr>
    <w:rPr>
      <w:rFonts w:asciiTheme="majorHAnsi" w:eastAsiaTheme="majorEastAsia" w:hAnsiTheme="majorHAnsi" w:cstheme="majorBidi"/>
      <w:b/>
      <w:bCs/>
      <w:u w:val="single"/>
    </w:rPr>
  </w:style>
  <w:style w:type="paragraph" w:styleId="Heading2">
    <w:name w:val="heading 2"/>
    <w:basedOn w:val="Normal"/>
    <w:next w:val="Normal"/>
    <w:link w:val="Heading2Char"/>
    <w:uiPriority w:val="9"/>
    <w:qFormat/>
    <w:rsid w:val="006D159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7F"/>
    <w:pPr>
      <w:ind w:left="720"/>
      <w:contextualSpacing/>
    </w:pPr>
  </w:style>
  <w:style w:type="paragraph" w:styleId="BodyText">
    <w:name w:val="Body Text"/>
    <w:basedOn w:val="Normal"/>
    <w:link w:val="BodyTextChar"/>
    <w:rsid w:val="00B1347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34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F1"/>
    <w:rPr>
      <w:rFonts w:ascii="Tahoma" w:hAnsi="Tahoma" w:cs="Tahoma"/>
      <w:sz w:val="16"/>
      <w:szCs w:val="16"/>
    </w:rPr>
  </w:style>
  <w:style w:type="paragraph" w:styleId="Header">
    <w:name w:val="header"/>
    <w:basedOn w:val="Normal"/>
    <w:link w:val="HeaderChar"/>
    <w:uiPriority w:val="99"/>
    <w:semiHidden/>
    <w:unhideWhenUsed/>
    <w:rsid w:val="00714F0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14F09"/>
  </w:style>
  <w:style w:type="paragraph" w:styleId="Footer">
    <w:name w:val="footer"/>
    <w:basedOn w:val="Normal"/>
    <w:link w:val="FooterChar"/>
    <w:uiPriority w:val="99"/>
    <w:unhideWhenUsed/>
    <w:rsid w:val="00714F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F09"/>
  </w:style>
  <w:style w:type="table" w:styleId="TableGrid">
    <w:name w:val="Table Grid"/>
    <w:basedOn w:val="TableNormal"/>
    <w:uiPriority w:val="59"/>
    <w:rsid w:val="00C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4900"/>
    <w:rPr>
      <w:i/>
      <w:iCs/>
    </w:rPr>
  </w:style>
  <w:style w:type="character" w:customStyle="1" w:styleId="apple-converted-space">
    <w:name w:val="apple-converted-space"/>
    <w:basedOn w:val="DefaultParagraphFont"/>
    <w:rsid w:val="00974900"/>
  </w:style>
  <w:style w:type="paragraph" w:customStyle="1" w:styleId="Default">
    <w:name w:val="Default"/>
    <w:rsid w:val="00400E4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7FD1"/>
    <w:rPr>
      <w:rFonts w:asciiTheme="majorHAnsi" w:eastAsiaTheme="majorEastAsia" w:hAnsiTheme="majorHAnsi" w:cstheme="majorBidi"/>
      <w:b/>
      <w:bCs/>
      <w:u w:val="single"/>
    </w:rPr>
  </w:style>
  <w:style w:type="character" w:customStyle="1" w:styleId="Heading2Char">
    <w:name w:val="Heading 2 Char"/>
    <w:basedOn w:val="DefaultParagraphFont"/>
    <w:link w:val="Heading2"/>
    <w:uiPriority w:val="9"/>
    <w:rsid w:val="006D1596"/>
    <w:rPr>
      <w:rFonts w:ascii="Cambria" w:eastAsia="Times New Roman" w:hAnsi="Cambria" w:cs="Times New Roman"/>
      <w:b/>
      <w:bCs/>
      <w:i/>
      <w:iCs/>
      <w:color w:val="943634"/>
      <w:lang w:eastAsia="en-US" w:bidi="en-US"/>
    </w:rPr>
  </w:style>
  <w:style w:type="character" w:customStyle="1" w:styleId="ListParagraphChar">
    <w:name w:val="List Paragraph Char"/>
    <w:link w:val="ListParagraph"/>
    <w:uiPriority w:val="34"/>
    <w:rsid w:val="00D3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F270B-D10A-45E2-BEFB-F2DD42EC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Barkan</dc:creator>
  <cp:lastModifiedBy>user</cp:lastModifiedBy>
  <cp:revision>2</cp:revision>
  <cp:lastPrinted>2017-03-06T08:58:00Z</cp:lastPrinted>
  <dcterms:created xsi:type="dcterms:W3CDTF">2017-04-26T11:44:00Z</dcterms:created>
  <dcterms:modified xsi:type="dcterms:W3CDTF">2017-04-26T11:44:00Z</dcterms:modified>
</cp:coreProperties>
</file>