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447CD" w14:textId="7FDB647C" w:rsidR="004C174E" w:rsidRDefault="00606D5F">
      <w:r>
        <w:rPr>
          <w:noProof/>
          <w:lang w:eastAsia="fr-FR"/>
        </w:rPr>
        <w:drawing>
          <wp:anchor distT="0" distB="0" distL="114300" distR="114300" simplePos="0" relativeHeight="251660800" behindDoc="1" locked="0" layoutInCell="1" allowOverlap="1" wp14:anchorId="0355C11F" wp14:editId="0ABFC9A9">
            <wp:simplePos x="0" y="0"/>
            <wp:positionH relativeFrom="page">
              <wp:align>right</wp:align>
            </wp:positionH>
            <wp:positionV relativeFrom="paragraph">
              <wp:posOffset>-814070</wp:posOffset>
            </wp:positionV>
            <wp:extent cx="3752850" cy="1800225"/>
            <wp:effectExtent l="0" t="0" r="0" b="9525"/>
            <wp:wrapNone/>
            <wp:docPr id="2" name="Image 2" descr="UNFPA | United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FPA | United Na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437">
        <w:rPr>
          <w:noProof/>
          <w:lang w:eastAsia="fr-FR"/>
        </w:rPr>
        <w:drawing>
          <wp:anchor distT="0" distB="0" distL="114300" distR="114300" simplePos="0" relativeHeight="251657728" behindDoc="1" locked="0" layoutInCell="1" allowOverlap="1" wp14:anchorId="29512D34" wp14:editId="1EAAF2B1">
            <wp:simplePos x="0" y="0"/>
            <wp:positionH relativeFrom="column">
              <wp:posOffset>-147320</wp:posOffset>
            </wp:positionH>
            <wp:positionV relativeFrom="paragraph">
              <wp:posOffset>-328295</wp:posOffset>
            </wp:positionV>
            <wp:extent cx="1628775" cy="866775"/>
            <wp:effectExtent l="0" t="0" r="9525" b="9525"/>
            <wp:wrapNone/>
            <wp:docPr id="3" name="Image 3" descr="Ministère de la Santé et de la Protection sociale (Maroc)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ère de la Santé et de la Protection sociale (Maroc) — Wikipé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B34482" w14:textId="77777777" w:rsidR="00A57DAC" w:rsidRDefault="00A57DAC" w:rsidP="00A57DAC">
      <w:pPr>
        <w:pStyle w:val="Default"/>
      </w:pPr>
    </w:p>
    <w:p w14:paraId="4C58228A" w14:textId="77777777" w:rsidR="00682B80" w:rsidRDefault="00682B80" w:rsidP="00A57DAC">
      <w:pPr>
        <w:pStyle w:val="Default"/>
      </w:pPr>
    </w:p>
    <w:p w14:paraId="6C31F6E0" w14:textId="77777777" w:rsidR="00682B80" w:rsidRDefault="00682B80" w:rsidP="00A57DAC">
      <w:pPr>
        <w:pStyle w:val="Default"/>
      </w:pPr>
    </w:p>
    <w:p w14:paraId="53D8DB0C" w14:textId="77777777" w:rsidR="00F60437" w:rsidRDefault="00F60437" w:rsidP="00A57DAC">
      <w:pPr>
        <w:pStyle w:val="Default"/>
        <w:jc w:val="center"/>
        <w:rPr>
          <w:b/>
          <w:bCs/>
          <w:color w:val="1F497D" w:themeColor="text2"/>
          <w:sz w:val="32"/>
          <w:szCs w:val="32"/>
        </w:rPr>
      </w:pPr>
    </w:p>
    <w:p w14:paraId="415835F3" w14:textId="77777777" w:rsidR="00A57DAC" w:rsidRPr="00A57DAC" w:rsidRDefault="00F60437" w:rsidP="00F60437">
      <w:pPr>
        <w:pStyle w:val="Default"/>
        <w:rPr>
          <w:b/>
          <w:bCs/>
          <w:color w:val="1F497D" w:themeColor="text2"/>
          <w:sz w:val="32"/>
          <w:szCs w:val="32"/>
        </w:rPr>
      </w:pPr>
      <w:r>
        <w:rPr>
          <w:b/>
          <w:bCs/>
          <w:color w:val="1F497D" w:themeColor="text2"/>
          <w:sz w:val="32"/>
          <w:szCs w:val="32"/>
        </w:rPr>
        <w:t xml:space="preserve">                         </w:t>
      </w:r>
      <w:r w:rsidR="00A57DAC" w:rsidRPr="00A57DAC">
        <w:rPr>
          <w:b/>
          <w:bCs/>
          <w:color w:val="1F497D" w:themeColor="text2"/>
          <w:sz w:val="32"/>
          <w:szCs w:val="32"/>
        </w:rPr>
        <w:t>TERMES DE REFERENCE</w:t>
      </w:r>
    </w:p>
    <w:p w14:paraId="701A75E7" w14:textId="77777777" w:rsidR="00A57DAC" w:rsidRDefault="00A57DAC" w:rsidP="00A57DAC">
      <w:pPr>
        <w:pStyle w:val="Default"/>
        <w:jc w:val="center"/>
        <w:rPr>
          <w:sz w:val="16"/>
          <w:szCs w:val="16"/>
        </w:rPr>
      </w:pPr>
      <w:r>
        <w:t xml:space="preserve"> </w:t>
      </w:r>
      <w:r>
        <w:rPr>
          <w:sz w:val="16"/>
          <w:szCs w:val="16"/>
        </w:rPr>
        <w:t xml:space="preserve">……………………………..……….………………………………………………………………………………………………............................................... </w:t>
      </w:r>
    </w:p>
    <w:p w14:paraId="422A1BD3" w14:textId="77777777" w:rsidR="00A57DAC" w:rsidRDefault="00A57DAC" w:rsidP="00A57DAC">
      <w:pPr>
        <w:pStyle w:val="Default"/>
        <w:jc w:val="center"/>
        <w:rPr>
          <w:sz w:val="16"/>
          <w:szCs w:val="16"/>
        </w:rPr>
      </w:pPr>
    </w:p>
    <w:p w14:paraId="647A3FB2" w14:textId="77777777" w:rsidR="00A57DAC" w:rsidRPr="00A57DAC" w:rsidRDefault="00A57DAC" w:rsidP="00A57DAC">
      <w:pPr>
        <w:pStyle w:val="Default"/>
        <w:jc w:val="center"/>
        <w:rPr>
          <w:color w:val="0070C0"/>
          <w:sz w:val="32"/>
          <w:szCs w:val="32"/>
        </w:rPr>
      </w:pPr>
      <w:r w:rsidRPr="00A57DAC">
        <w:rPr>
          <w:b/>
          <w:bCs/>
          <w:color w:val="0070C0"/>
          <w:sz w:val="32"/>
          <w:szCs w:val="32"/>
        </w:rPr>
        <w:t>Evaluation du cadre juridique régissant les domaines et les déterminants de la santé y compris la SSR des adolescents et des jeunes</w:t>
      </w:r>
    </w:p>
    <w:p w14:paraId="40EA8BE5" w14:textId="77777777" w:rsidR="0056429F" w:rsidRDefault="0056429F" w:rsidP="00A57DAC">
      <w:pPr>
        <w:pStyle w:val="Default"/>
        <w:rPr>
          <w:b/>
          <w:bCs/>
          <w:sz w:val="26"/>
          <w:szCs w:val="26"/>
        </w:rPr>
      </w:pPr>
    </w:p>
    <w:p w14:paraId="0105B02E" w14:textId="77777777" w:rsidR="00682B80" w:rsidRDefault="00682B80" w:rsidP="00A57DAC">
      <w:pPr>
        <w:pStyle w:val="Default"/>
        <w:rPr>
          <w:b/>
          <w:bCs/>
          <w:sz w:val="26"/>
          <w:szCs w:val="26"/>
        </w:rPr>
      </w:pPr>
    </w:p>
    <w:p w14:paraId="52447BF9" w14:textId="77777777" w:rsidR="00A57DAC" w:rsidRDefault="00A57DAC" w:rsidP="00A57DAC">
      <w:pPr>
        <w:pStyle w:val="Default"/>
        <w:rPr>
          <w:sz w:val="28"/>
          <w:szCs w:val="28"/>
        </w:rPr>
      </w:pPr>
      <w:r>
        <w:rPr>
          <w:b/>
          <w:bCs/>
          <w:sz w:val="26"/>
          <w:szCs w:val="26"/>
        </w:rPr>
        <w:t xml:space="preserve">1- </w:t>
      </w:r>
      <w:r>
        <w:rPr>
          <w:b/>
          <w:bCs/>
          <w:sz w:val="28"/>
          <w:szCs w:val="28"/>
        </w:rPr>
        <w:t xml:space="preserve">Contexte général et justifications </w:t>
      </w:r>
    </w:p>
    <w:p w14:paraId="639A1FB3" w14:textId="19A54CBA" w:rsidR="000F414D" w:rsidRPr="00B6115B" w:rsidRDefault="00A57DAC" w:rsidP="00B6115B">
      <w:pPr>
        <w:pStyle w:val="Default"/>
        <w:rPr>
          <w:sz w:val="16"/>
          <w:szCs w:val="16"/>
        </w:rPr>
      </w:pPr>
      <w:r>
        <w:rPr>
          <w:sz w:val="16"/>
          <w:szCs w:val="16"/>
        </w:rPr>
        <w:t xml:space="preserve">……………………………..……….………………………………………………………………………………………………................................................ </w:t>
      </w:r>
    </w:p>
    <w:p w14:paraId="53052608" w14:textId="13CBA733" w:rsidR="00821991" w:rsidRPr="00821991" w:rsidRDefault="00821991" w:rsidP="000D486A">
      <w:pPr>
        <w:spacing w:before="120" w:after="120" w:line="240" w:lineRule="auto"/>
        <w:jc w:val="both"/>
        <w:rPr>
          <w:rFonts w:ascii="Georgia" w:hAnsi="Georgia" w:cs="Georgia"/>
          <w:color w:val="000000"/>
          <w:sz w:val="23"/>
          <w:szCs w:val="23"/>
        </w:rPr>
      </w:pPr>
      <w:r w:rsidRPr="007300C5">
        <w:rPr>
          <w:rFonts w:ascii="Georgia" w:hAnsi="Georgia" w:cs="Georgia"/>
          <w:color w:val="000000"/>
          <w:sz w:val="23"/>
          <w:szCs w:val="23"/>
        </w:rPr>
        <w:t xml:space="preserve">La santé des adolescents et des jeunes revêt une importance capitale pour notre pays, et ce, conformément aux Hautes Directives Royales contenues dans les discours de </w:t>
      </w:r>
      <w:r w:rsidRPr="007300C5">
        <w:rPr>
          <w:rFonts w:ascii="Georgia" w:hAnsi="Georgia" w:cs="Georgia"/>
          <w:b/>
          <w:bCs/>
          <w:color w:val="000000"/>
          <w:sz w:val="23"/>
          <w:szCs w:val="23"/>
        </w:rPr>
        <w:t>Sa Majesté le Roi Mohammed VI, que Dieu l'Assiste</w:t>
      </w:r>
      <w:r w:rsidRPr="00821991">
        <w:rPr>
          <w:rFonts w:ascii="Georgia" w:hAnsi="Georgia" w:cs="Georgia"/>
          <w:b/>
          <w:bCs/>
          <w:color w:val="000000"/>
          <w:sz w:val="23"/>
          <w:szCs w:val="23"/>
        </w:rPr>
        <w:t xml:space="preserve"> et le Glorifie</w:t>
      </w:r>
      <w:r w:rsidRPr="007300C5">
        <w:rPr>
          <w:rFonts w:ascii="Georgia" w:hAnsi="Georgia" w:cs="Georgia"/>
          <w:color w:val="000000"/>
          <w:sz w:val="23"/>
          <w:szCs w:val="23"/>
        </w:rPr>
        <w:t xml:space="preserve">, à travers lesquelles il a rappelé l'importance de placer les questions de la jeunesse au cœur du </w:t>
      </w:r>
      <w:r w:rsidR="00357029">
        <w:rPr>
          <w:rFonts w:ascii="Georgia" w:hAnsi="Georgia" w:cs="Georgia"/>
          <w:color w:val="000000"/>
          <w:sz w:val="23"/>
          <w:szCs w:val="23"/>
        </w:rPr>
        <w:t>N</w:t>
      </w:r>
      <w:r w:rsidRPr="007300C5">
        <w:rPr>
          <w:rFonts w:ascii="Georgia" w:hAnsi="Georgia" w:cs="Georgia"/>
          <w:color w:val="000000"/>
          <w:sz w:val="23"/>
          <w:szCs w:val="23"/>
        </w:rPr>
        <w:t xml:space="preserve">ouveau </w:t>
      </w:r>
      <w:r w:rsidR="00357029">
        <w:rPr>
          <w:rFonts w:ascii="Georgia" w:hAnsi="Georgia" w:cs="Georgia"/>
          <w:color w:val="000000"/>
          <w:sz w:val="23"/>
          <w:szCs w:val="23"/>
        </w:rPr>
        <w:t>M</w:t>
      </w:r>
      <w:r w:rsidRPr="007300C5">
        <w:rPr>
          <w:rFonts w:ascii="Georgia" w:hAnsi="Georgia" w:cs="Georgia"/>
          <w:color w:val="000000"/>
          <w:sz w:val="23"/>
          <w:szCs w:val="23"/>
        </w:rPr>
        <w:t xml:space="preserve">odèle de </w:t>
      </w:r>
      <w:r w:rsidR="00357029">
        <w:rPr>
          <w:rFonts w:ascii="Georgia" w:hAnsi="Georgia" w:cs="Georgia"/>
          <w:color w:val="000000"/>
          <w:sz w:val="23"/>
          <w:szCs w:val="23"/>
        </w:rPr>
        <w:t>D</w:t>
      </w:r>
      <w:r w:rsidRPr="007300C5">
        <w:rPr>
          <w:rFonts w:ascii="Georgia" w:hAnsi="Georgia" w:cs="Georgia"/>
          <w:color w:val="000000"/>
          <w:sz w:val="23"/>
          <w:szCs w:val="23"/>
        </w:rPr>
        <w:t>éveloppement et à promouvoir efficacement leur condition, et suivant le programme gouvernemental, qui a accordé une importance remarquable à l'axe de la jeunesse en prévoyant un ensemble de mesures procédurales qui aideront ce groupe à s'intégrer dans la vie sociale et économique.</w:t>
      </w:r>
    </w:p>
    <w:p w14:paraId="0790DE7F" w14:textId="77777777" w:rsidR="00821991" w:rsidRPr="00821991" w:rsidRDefault="00821991" w:rsidP="000D486A">
      <w:pPr>
        <w:spacing w:before="120" w:after="120" w:line="259" w:lineRule="auto"/>
        <w:jc w:val="both"/>
        <w:rPr>
          <w:rFonts w:ascii="Georgia" w:hAnsi="Georgia" w:cs="Georgia"/>
          <w:color w:val="000000"/>
          <w:sz w:val="23"/>
          <w:szCs w:val="23"/>
        </w:rPr>
      </w:pPr>
      <w:r w:rsidRPr="00821991">
        <w:rPr>
          <w:rFonts w:ascii="Georgia" w:hAnsi="Georgia" w:cs="Georgia"/>
          <w:color w:val="000000"/>
          <w:sz w:val="23"/>
          <w:szCs w:val="23"/>
        </w:rPr>
        <w:t xml:space="preserve">Outre le poids démographique de cette population et son caractère décisif pour le développement du pays, le Département de la Santé et de la Protection Sociale, considère que l’action en faveur de cette population est incontournable pour, à la fois, pérenniser les efforts entrepris pour la petite enfance et investir dans la santé des générations futures, surtout que les efforts en faveur de la santé des adolescents offrent un triple retour sur investissement (pendant l’adolescence, à l'âge adulte et pour la génération suivante), et par conséquent réduisent les coûts actuels et futurs de la santé tout en accroissant le capital social. </w:t>
      </w:r>
    </w:p>
    <w:p w14:paraId="01B90BA4" w14:textId="5ED8F5E8" w:rsidR="00F1020E" w:rsidRPr="00AE272C" w:rsidRDefault="00E30E75" w:rsidP="00AD1547">
      <w:pPr>
        <w:pStyle w:val="Default"/>
        <w:spacing w:before="120" w:after="120"/>
        <w:jc w:val="both"/>
        <w:rPr>
          <w:rFonts w:ascii="Minion Pro" w:hAnsi="Minion Pro" w:cs="Minion Pro"/>
        </w:rPr>
      </w:pPr>
      <w:r>
        <w:rPr>
          <w:sz w:val="23"/>
          <w:szCs w:val="23"/>
        </w:rPr>
        <w:t>Le Maroc, comme de nombreux pays, fait face à des défis en matière de Santé des Adolescents et des Jeunes notamment la SSR, tel que l’accès limité à des services de santé adaptés, les taux élevés de grossesses précoces et non désirée, ainsi que les risques liés aux infections sexuellement transmissibles (IST) et au VIH/SIDA.</w:t>
      </w:r>
      <w:r w:rsidRPr="000F414D">
        <w:rPr>
          <w:sz w:val="23"/>
          <w:szCs w:val="23"/>
        </w:rPr>
        <w:t xml:space="preserve"> </w:t>
      </w:r>
      <w:r>
        <w:rPr>
          <w:sz w:val="23"/>
          <w:szCs w:val="23"/>
        </w:rPr>
        <w:t xml:space="preserve">Ces défis nécessitent un fort engagement politique et particulièrement législatif, qui doit se traduire par un appui institutionnel important à même de garantir </w:t>
      </w:r>
      <w:r w:rsidR="00295FBD">
        <w:rPr>
          <w:sz w:val="23"/>
          <w:szCs w:val="23"/>
        </w:rPr>
        <w:t xml:space="preserve">la </w:t>
      </w:r>
      <w:r>
        <w:rPr>
          <w:sz w:val="23"/>
          <w:szCs w:val="23"/>
        </w:rPr>
        <w:t>mobilis</w:t>
      </w:r>
      <w:r w:rsidR="00295FBD">
        <w:rPr>
          <w:sz w:val="23"/>
          <w:szCs w:val="23"/>
        </w:rPr>
        <w:t>ation de</w:t>
      </w:r>
      <w:r>
        <w:rPr>
          <w:sz w:val="23"/>
          <w:szCs w:val="23"/>
        </w:rPr>
        <w:t xml:space="preserve"> l’ensemble des parties prenantes et </w:t>
      </w:r>
      <w:r w:rsidR="00295FBD">
        <w:rPr>
          <w:sz w:val="23"/>
          <w:szCs w:val="23"/>
        </w:rPr>
        <w:t>à</w:t>
      </w:r>
      <w:r>
        <w:rPr>
          <w:sz w:val="23"/>
          <w:szCs w:val="23"/>
        </w:rPr>
        <w:t xml:space="preserve"> haut niveau de coordination. </w:t>
      </w:r>
      <w:r w:rsidR="00821991" w:rsidRPr="00821991">
        <w:rPr>
          <w:sz w:val="23"/>
          <w:szCs w:val="23"/>
        </w:rPr>
        <w:t xml:space="preserve">A cet </w:t>
      </w:r>
      <w:r w:rsidR="00FC5738">
        <w:rPr>
          <w:sz w:val="23"/>
          <w:szCs w:val="23"/>
        </w:rPr>
        <w:t>égard</w:t>
      </w:r>
      <w:r w:rsidR="00821991" w:rsidRPr="00821991">
        <w:rPr>
          <w:sz w:val="23"/>
          <w:szCs w:val="23"/>
        </w:rPr>
        <w:t>,</w:t>
      </w:r>
      <w:r w:rsidR="00C02247" w:rsidRPr="00C02247">
        <w:rPr>
          <w:sz w:val="23"/>
          <w:szCs w:val="23"/>
        </w:rPr>
        <w:t xml:space="preserve"> le </w:t>
      </w:r>
      <w:r w:rsidR="00122590">
        <w:rPr>
          <w:sz w:val="23"/>
          <w:szCs w:val="23"/>
        </w:rPr>
        <w:t>D</w:t>
      </w:r>
      <w:r w:rsidR="00C02247" w:rsidRPr="00C02247">
        <w:rPr>
          <w:sz w:val="23"/>
          <w:szCs w:val="23"/>
        </w:rPr>
        <w:t xml:space="preserve">épartement de la </w:t>
      </w:r>
      <w:r w:rsidR="00122590">
        <w:rPr>
          <w:sz w:val="23"/>
          <w:szCs w:val="23"/>
        </w:rPr>
        <w:t>S</w:t>
      </w:r>
      <w:r w:rsidR="00C02247" w:rsidRPr="00C02247">
        <w:rPr>
          <w:sz w:val="23"/>
          <w:szCs w:val="23"/>
        </w:rPr>
        <w:t xml:space="preserve">anté et de la </w:t>
      </w:r>
      <w:r w:rsidR="00122590">
        <w:rPr>
          <w:sz w:val="23"/>
          <w:szCs w:val="23"/>
        </w:rPr>
        <w:t>P</w:t>
      </w:r>
      <w:r w:rsidR="00C02247" w:rsidRPr="00C02247">
        <w:rPr>
          <w:sz w:val="23"/>
          <w:szCs w:val="23"/>
        </w:rPr>
        <w:t xml:space="preserve">rotection </w:t>
      </w:r>
      <w:r w:rsidR="00122590">
        <w:rPr>
          <w:sz w:val="23"/>
          <w:szCs w:val="23"/>
        </w:rPr>
        <w:t>S</w:t>
      </w:r>
      <w:r w:rsidR="00C02247" w:rsidRPr="00C02247">
        <w:rPr>
          <w:sz w:val="23"/>
          <w:szCs w:val="23"/>
        </w:rPr>
        <w:t xml:space="preserve">ociale conscient des besoins émergents </w:t>
      </w:r>
      <w:r w:rsidR="00122590">
        <w:rPr>
          <w:sz w:val="23"/>
          <w:szCs w:val="23"/>
        </w:rPr>
        <w:t>d</w:t>
      </w:r>
      <w:r w:rsidR="00C02247" w:rsidRPr="00C02247">
        <w:rPr>
          <w:sz w:val="23"/>
          <w:szCs w:val="23"/>
        </w:rPr>
        <w:t>es jeune</w:t>
      </w:r>
      <w:r w:rsidR="00890704">
        <w:rPr>
          <w:sz w:val="23"/>
          <w:szCs w:val="23"/>
        </w:rPr>
        <w:t>s</w:t>
      </w:r>
      <w:r w:rsidR="00E21823" w:rsidRPr="00E21823">
        <w:rPr>
          <w:sz w:val="23"/>
          <w:szCs w:val="23"/>
        </w:rPr>
        <w:t xml:space="preserve"> a </w:t>
      </w:r>
      <w:r w:rsidR="00122590">
        <w:rPr>
          <w:sz w:val="23"/>
          <w:szCs w:val="23"/>
        </w:rPr>
        <w:t xml:space="preserve">procédé </w:t>
      </w:r>
      <w:r w:rsidR="00CE604C">
        <w:rPr>
          <w:sz w:val="23"/>
          <w:szCs w:val="23"/>
        </w:rPr>
        <w:t xml:space="preserve">à la </w:t>
      </w:r>
      <w:r w:rsidR="00CE604C" w:rsidRPr="00E21823">
        <w:rPr>
          <w:sz w:val="23"/>
          <w:szCs w:val="23"/>
        </w:rPr>
        <w:t>mise</w:t>
      </w:r>
      <w:r w:rsidR="00E21823" w:rsidRPr="00E21823">
        <w:rPr>
          <w:sz w:val="23"/>
          <w:szCs w:val="23"/>
        </w:rPr>
        <w:t xml:space="preserve"> en œuvre la </w:t>
      </w:r>
      <w:r w:rsidR="00CE604C">
        <w:rPr>
          <w:sz w:val="23"/>
          <w:szCs w:val="23"/>
        </w:rPr>
        <w:t>S</w:t>
      </w:r>
      <w:r w:rsidR="00E21823" w:rsidRPr="00E21823">
        <w:rPr>
          <w:sz w:val="23"/>
          <w:szCs w:val="23"/>
        </w:rPr>
        <w:t xml:space="preserve">tratégie </w:t>
      </w:r>
      <w:r w:rsidR="00CE604C">
        <w:rPr>
          <w:sz w:val="23"/>
          <w:szCs w:val="23"/>
        </w:rPr>
        <w:t>N</w:t>
      </w:r>
      <w:r w:rsidR="00E21823" w:rsidRPr="00E21823">
        <w:rPr>
          <w:sz w:val="23"/>
          <w:szCs w:val="23"/>
        </w:rPr>
        <w:t xml:space="preserve">ationale de la </w:t>
      </w:r>
      <w:r w:rsidR="00CE604C">
        <w:rPr>
          <w:sz w:val="23"/>
          <w:szCs w:val="23"/>
        </w:rPr>
        <w:t>S</w:t>
      </w:r>
      <w:r w:rsidR="00E21823" w:rsidRPr="00E21823">
        <w:rPr>
          <w:sz w:val="23"/>
          <w:szCs w:val="23"/>
        </w:rPr>
        <w:t xml:space="preserve">anté des </w:t>
      </w:r>
      <w:r w:rsidR="00CE604C">
        <w:rPr>
          <w:sz w:val="23"/>
          <w:szCs w:val="23"/>
        </w:rPr>
        <w:t>A</w:t>
      </w:r>
      <w:r w:rsidR="00E21823" w:rsidRPr="00E21823">
        <w:rPr>
          <w:sz w:val="23"/>
          <w:szCs w:val="23"/>
        </w:rPr>
        <w:t xml:space="preserve">dolescents et des </w:t>
      </w:r>
      <w:r w:rsidR="00CE604C">
        <w:rPr>
          <w:sz w:val="23"/>
          <w:szCs w:val="23"/>
        </w:rPr>
        <w:t>J</w:t>
      </w:r>
      <w:r w:rsidR="00E21823" w:rsidRPr="00E21823">
        <w:rPr>
          <w:sz w:val="23"/>
          <w:szCs w:val="23"/>
        </w:rPr>
        <w:t>eunes 2022</w:t>
      </w:r>
      <w:r w:rsidR="00CE604C">
        <w:rPr>
          <w:sz w:val="23"/>
          <w:szCs w:val="23"/>
        </w:rPr>
        <w:t>-</w:t>
      </w:r>
      <w:r w:rsidR="00E21823" w:rsidRPr="00E21823">
        <w:rPr>
          <w:sz w:val="23"/>
          <w:szCs w:val="23"/>
        </w:rPr>
        <w:t xml:space="preserve"> 2030 </w:t>
      </w:r>
      <w:r w:rsidR="00AC2609" w:rsidRPr="00AC2609">
        <w:rPr>
          <w:sz w:val="23"/>
          <w:szCs w:val="23"/>
        </w:rPr>
        <w:t>qui met l'accent à travers son domaine</w:t>
      </w:r>
      <w:r w:rsidR="00E21823" w:rsidRPr="00E21823">
        <w:rPr>
          <w:sz w:val="23"/>
          <w:szCs w:val="23"/>
        </w:rPr>
        <w:t xml:space="preserve"> d'action stratégique </w:t>
      </w:r>
      <w:r w:rsidR="00890704">
        <w:rPr>
          <w:sz w:val="23"/>
          <w:szCs w:val="23"/>
        </w:rPr>
        <w:t>III,</w:t>
      </w:r>
      <w:r w:rsidR="00D94AC1">
        <w:rPr>
          <w:sz w:val="23"/>
          <w:szCs w:val="23"/>
        </w:rPr>
        <w:t xml:space="preserve"> sur l’</w:t>
      </w:r>
      <w:r w:rsidR="003A55D1" w:rsidRPr="003A55D1">
        <w:rPr>
          <w:sz w:val="23"/>
          <w:szCs w:val="23"/>
        </w:rPr>
        <w:t>amélioration de la gouvernance y compris la participation des jeunes</w:t>
      </w:r>
      <w:r w:rsidR="003A55D1">
        <w:rPr>
          <w:sz w:val="23"/>
          <w:szCs w:val="23"/>
        </w:rPr>
        <w:t xml:space="preserve"> et fait</w:t>
      </w:r>
      <w:r w:rsidR="002B0718" w:rsidRPr="002B0718">
        <w:rPr>
          <w:sz w:val="23"/>
          <w:szCs w:val="23"/>
        </w:rPr>
        <w:t xml:space="preserve"> appel</w:t>
      </w:r>
      <w:r w:rsidR="002B0718">
        <w:rPr>
          <w:sz w:val="23"/>
          <w:szCs w:val="23"/>
        </w:rPr>
        <w:t xml:space="preserve"> </w:t>
      </w:r>
      <w:r w:rsidR="002B0718" w:rsidRPr="002B0718">
        <w:rPr>
          <w:sz w:val="23"/>
          <w:szCs w:val="23"/>
        </w:rPr>
        <w:t xml:space="preserve">à l'évaluation du cadre juridique régissant les domaines et les déterminants de la santé y compris la santé </w:t>
      </w:r>
      <w:r w:rsidR="0012256E">
        <w:rPr>
          <w:sz w:val="23"/>
          <w:szCs w:val="23"/>
        </w:rPr>
        <w:t xml:space="preserve">sexuelle </w:t>
      </w:r>
      <w:r w:rsidR="002B0718" w:rsidRPr="002B0718">
        <w:rPr>
          <w:sz w:val="23"/>
          <w:szCs w:val="23"/>
        </w:rPr>
        <w:t>et reproductive des adolescents et des jeunes</w:t>
      </w:r>
      <w:r w:rsidR="0012256E" w:rsidRPr="0012256E">
        <w:rPr>
          <w:sz w:val="23"/>
          <w:szCs w:val="23"/>
        </w:rPr>
        <w:t xml:space="preserve"> surtout </w:t>
      </w:r>
      <w:r w:rsidR="0012256E">
        <w:rPr>
          <w:sz w:val="23"/>
          <w:szCs w:val="23"/>
        </w:rPr>
        <w:t>qu’i</w:t>
      </w:r>
      <w:r w:rsidR="000B59A2">
        <w:rPr>
          <w:sz w:val="23"/>
          <w:szCs w:val="23"/>
        </w:rPr>
        <w:t>l est crucial de</w:t>
      </w:r>
      <w:r w:rsidR="0081584D">
        <w:rPr>
          <w:sz w:val="23"/>
          <w:szCs w:val="23"/>
        </w:rPr>
        <w:t xml:space="preserve"> </w:t>
      </w:r>
      <w:r w:rsidR="00C06FC4">
        <w:rPr>
          <w:sz w:val="23"/>
          <w:szCs w:val="23"/>
        </w:rPr>
        <w:t xml:space="preserve">déterminer dans quelle mesure </w:t>
      </w:r>
      <w:r w:rsidR="00DA706E" w:rsidRPr="00DA706E">
        <w:rPr>
          <w:sz w:val="23"/>
          <w:szCs w:val="23"/>
        </w:rPr>
        <w:t>les réglementations</w:t>
      </w:r>
      <w:r w:rsidR="00C06FC4" w:rsidRPr="00574895">
        <w:rPr>
          <w:color w:val="FF0000"/>
          <w:sz w:val="23"/>
          <w:szCs w:val="23"/>
        </w:rPr>
        <w:t xml:space="preserve"> </w:t>
      </w:r>
      <w:r w:rsidR="00C06FC4">
        <w:rPr>
          <w:sz w:val="23"/>
          <w:szCs w:val="23"/>
        </w:rPr>
        <w:t xml:space="preserve">actuelles protègent les droits des jeunes en matière de </w:t>
      </w:r>
      <w:r w:rsidR="00AF4F6A">
        <w:rPr>
          <w:sz w:val="23"/>
          <w:szCs w:val="23"/>
        </w:rPr>
        <w:t>SSR</w:t>
      </w:r>
      <w:r w:rsidR="00C06FC4">
        <w:rPr>
          <w:sz w:val="23"/>
          <w:szCs w:val="23"/>
        </w:rPr>
        <w:t>, et s’ils garantissent un accès adéquat à des services de santé adapté</w:t>
      </w:r>
      <w:r w:rsidR="0081584D">
        <w:rPr>
          <w:sz w:val="23"/>
          <w:szCs w:val="23"/>
        </w:rPr>
        <w:t>s</w:t>
      </w:r>
      <w:r w:rsidR="00C06FC4">
        <w:rPr>
          <w:sz w:val="23"/>
          <w:szCs w:val="23"/>
        </w:rPr>
        <w:t xml:space="preserve"> à leurs </w:t>
      </w:r>
      <w:r w:rsidR="00A025FE">
        <w:rPr>
          <w:sz w:val="23"/>
          <w:szCs w:val="23"/>
        </w:rPr>
        <w:t>besoins</w:t>
      </w:r>
      <w:r w:rsidR="00D72B7B">
        <w:rPr>
          <w:sz w:val="23"/>
          <w:szCs w:val="23"/>
        </w:rPr>
        <w:t xml:space="preserve">, </w:t>
      </w:r>
      <w:r w:rsidR="00A025FE" w:rsidRPr="00EE4E75">
        <w:rPr>
          <w:sz w:val="23"/>
          <w:szCs w:val="23"/>
        </w:rPr>
        <w:t>dans un pays ou</w:t>
      </w:r>
      <w:r w:rsidR="00A025FE">
        <w:rPr>
          <w:sz w:val="23"/>
          <w:szCs w:val="23"/>
        </w:rPr>
        <w:t xml:space="preserve"> ces questions sont souvent sujettes à des débats sociaux et politiques. </w:t>
      </w:r>
      <w:r w:rsidR="00A025FE">
        <w:rPr>
          <w:sz w:val="23"/>
          <w:szCs w:val="23"/>
        </w:rPr>
        <w:lastRenderedPageBreak/>
        <w:t>Alors que le Maroc a progressé dans de nombreux aspects de la santé</w:t>
      </w:r>
      <w:r w:rsidR="007E758D">
        <w:rPr>
          <w:sz w:val="23"/>
          <w:szCs w:val="23"/>
        </w:rPr>
        <w:t xml:space="preserve"> et droit</w:t>
      </w:r>
      <w:r w:rsidR="00A025FE">
        <w:rPr>
          <w:sz w:val="23"/>
          <w:szCs w:val="23"/>
        </w:rPr>
        <w:t>, les politiques et les lois entourant la SSR des jeunes restent un domaine complexe et parfois controversé.</w:t>
      </w:r>
    </w:p>
    <w:p w14:paraId="68C2A8BE" w14:textId="077CA6D2" w:rsidR="00191643" w:rsidRPr="006807A5" w:rsidRDefault="00191643" w:rsidP="002E53E8">
      <w:pPr>
        <w:pStyle w:val="Default"/>
        <w:spacing w:before="120" w:after="120"/>
        <w:jc w:val="both"/>
        <w:rPr>
          <w:sz w:val="23"/>
          <w:szCs w:val="23"/>
        </w:rPr>
      </w:pPr>
      <w:r w:rsidRPr="006807A5">
        <w:rPr>
          <w:sz w:val="23"/>
          <w:szCs w:val="23"/>
        </w:rPr>
        <w:t>D</w:t>
      </w:r>
      <w:r w:rsidR="006807A5">
        <w:rPr>
          <w:sz w:val="23"/>
          <w:szCs w:val="23"/>
        </w:rPr>
        <w:t>ans ce contexte, l'UNFPA et le Ministère de la S</w:t>
      </w:r>
      <w:r w:rsidRPr="006807A5">
        <w:rPr>
          <w:sz w:val="23"/>
          <w:szCs w:val="23"/>
        </w:rPr>
        <w:t>anté</w:t>
      </w:r>
      <w:r w:rsidR="006807A5">
        <w:rPr>
          <w:sz w:val="23"/>
          <w:szCs w:val="23"/>
        </w:rPr>
        <w:t xml:space="preserve"> et de la Protection Sociale (Direction de la P</w:t>
      </w:r>
      <w:r w:rsidRPr="006807A5">
        <w:rPr>
          <w:sz w:val="23"/>
          <w:szCs w:val="23"/>
        </w:rPr>
        <w:t>opulation) lance</w:t>
      </w:r>
      <w:r w:rsidR="006807A5">
        <w:rPr>
          <w:sz w:val="23"/>
          <w:szCs w:val="23"/>
        </w:rPr>
        <w:t>nt</w:t>
      </w:r>
      <w:r w:rsidRPr="006807A5">
        <w:rPr>
          <w:sz w:val="23"/>
          <w:szCs w:val="23"/>
        </w:rPr>
        <w:t xml:space="preserve"> un appel d'offre pour la mobilisation d'une assistance technique afin de réaliser une évaluation qui vise à examiner en profondeur les lois existantes, leur application pratique et leur efficacité dans la protection et la promotion de la santé des adolescents et des jeunes. Elle soulève des questions fondamentales sur les droits humains, l’accès aux services de santé et la protection des jeunes contre les risques liés à la SSR, notamment, elle vise à informer les décideurs politiques, les praticiens de la santé et les défendeurs des droits sur les lacunes éventuelles et les opportunités d’amélioration pour garantir un meilleur accès et une meilleure protection pour les adolescents et jeunes en matière de SSR. Une telle évaluation peut également mettre en évidence les incohérences dans le cadre juridique existant, et fournir des recommandations pour renforcer la protection des droits en santé des adolescents et des jeunes.</w:t>
      </w:r>
    </w:p>
    <w:p w14:paraId="1B467374" w14:textId="77777777" w:rsidR="00A025FE" w:rsidRDefault="00A025FE" w:rsidP="00A57DAC">
      <w:pPr>
        <w:pStyle w:val="Default"/>
        <w:rPr>
          <w:b/>
          <w:bCs/>
          <w:sz w:val="26"/>
          <w:szCs w:val="26"/>
        </w:rPr>
      </w:pPr>
    </w:p>
    <w:p w14:paraId="78C7ECB9" w14:textId="77777777" w:rsidR="00A57DAC" w:rsidRDefault="00A57DAC" w:rsidP="00A57DAC">
      <w:pPr>
        <w:pStyle w:val="Default"/>
        <w:rPr>
          <w:sz w:val="28"/>
          <w:szCs w:val="28"/>
        </w:rPr>
      </w:pPr>
      <w:r>
        <w:rPr>
          <w:b/>
          <w:bCs/>
          <w:sz w:val="26"/>
          <w:szCs w:val="26"/>
        </w:rPr>
        <w:t xml:space="preserve">2- </w:t>
      </w:r>
      <w:r>
        <w:rPr>
          <w:b/>
          <w:bCs/>
          <w:sz w:val="28"/>
          <w:szCs w:val="28"/>
        </w:rPr>
        <w:t xml:space="preserve">Objectif général </w:t>
      </w:r>
    </w:p>
    <w:p w14:paraId="28D16F44" w14:textId="77777777" w:rsidR="00A57DAC" w:rsidRDefault="00A57DAC" w:rsidP="00A57DAC">
      <w:pPr>
        <w:pStyle w:val="Default"/>
        <w:rPr>
          <w:sz w:val="16"/>
          <w:szCs w:val="16"/>
        </w:rPr>
      </w:pPr>
      <w:r>
        <w:rPr>
          <w:sz w:val="16"/>
          <w:szCs w:val="16"/>
        </w:rPr>
        <w:t xml:space="preserve">……………………………..……….………………………………………………………………………………………………................................................... </w:t>
      </w:r>
    </w:p>
    <w:p w14:paraId="05A65980" w14:textId="77777777" w:rsidR="008F60EA" w:rsidRDefault="008F60EA" w:rsidP="00A57DAC">
      <w:pPr>
        <w:pStyle w:val="Default"/>
        <w:rPr>
          <w:sz w:val="16"/>
          <w:szCs w:val="16"/>
        </w:rPr>
      </w:pPr>
    </w:p>
    <w:p w14:paraId="59C43626" w14:textId="53D8D7B8" w:rsidR="00A57DAC" w:rsidRDefault="002E53E8" w:rsidP="00606D5F">
      <w:pPr>
        <w:pStyle w:val="Default"/>
        <w:jc w:val="both"/>
        <w:rPr>
          <w:sz w:val="23"/>
          <w:szCs w:val="23"/>
        </w:rPr>
      </w:pPr>
      <w:r>
        <w:rPr>
          <w:sz w:val="23"/>
          <w:szCs w:val="23"/>
        </w:rPr>
        <w:t>Renforcer</w:t>
      </w:r>
      <w:r w:rsidR="00DA706E">
        <w:rPr>
          <w:sz w:val="23"/>
          <w:szCs w:val="23"/>
        </w:rPr>
        <w:t xml:space="preserve"> </w:t>
      </w:r>
      <w:r>
        <w:rPr>
          <w:sz w:val="23"/>
          <w:szCs w:val="23"/>
        </w:rPr>
        <w:t>le</w:t>
      </w:r>
      <w:r w:rsidR="00DA706E">
        <w:rPr>
          <w:sz w:val="23"/>
          <w:szCs w:val="23"/>
        </w:rPr>
        <w:t xml:space="preserve"> cadre juridique et </w:t>
      </w:r>
      <w:r>
        <w:rPr>
          <w:sz w:val="23"/>
          <w:szCs w:val="23"/>
        </w:rPr>
        <w:t>institutionnel</w:t>
      </w:r>
      <w:r w:rsidR="00DA706E">
        <w:rPr>
          <w:sz w:val="23"/>
          <w:szCs w:val="23"/>
        </w:rPr>
        <w:t xml:space="preserve"> et ce à travers l’évaluation des</w:t>
      </w:r>
      <w:r w:rsidR="000110B7">
        <w:rPr>
          <w:sz w:val="23"/>
          <w:szCs w:val="23"/>
        </w:rPr>
        <w:t xml:space="preserve"> </w:t>
      </w:r>
      <w:r w:rsidR="00DA706E">
        <w:rPr>
          <w:sz w:val="23"/>
          <w:szCs w:val="23"/>
        </w:rPr>
        <w:t xml:space="preserve">lois, des </w:t>
      </w:r>
      <w:r w:rsidR="000110B7">
        <w:rPr>
          <w:sz w:val="23"/>
          <w:szCs w:val="23"/>
        </w:rPr>
        <w:t>politiques</w:t>
      </w:r>
      <w:r w:rsidR="000F414D">
        <w:rPr>
          <w:sz w:val="23"/>
          <w:szCs w:val="23"/>
        </w:rPr>
        <w:t xml:space="preserve"> et </w:t>
      </w:r>
      <w:r w:rsidR="00DD4E7D">
        <w:rPr>
          <w:sz w:val="23"/>
          <w:szCs w:val="23"/>
        </w:rPr>
        <w:t>d</w:t>
      </w:r>
      <w:r w:rsidR="000F414D">
        <w:rPr>
          <w:sz w:val="23"/>
          <w:szCs w:val="23"/>
        </w:rPr>
        <w:t>es réglementations en place, ainsi que leur efficacité et leur adéquation pour</w:t>
      </w:r>
      <w:r w:rsidR="00236989">
        <w:rPr>
          <w:sz w:val="23"/>
          <w:szCs w:val="23"/>
        </w:rPr>
        <w:t xml:space="preserve"> répondre</w:t>
      </w:r>
      <w:r w:rsidR="0056429F">
        <w:rPr>
          <w:sz w:val="23"/>
          <w:szCs w:val="23"/>
        </w:rPr>
        <w:t xml:space="preserve"> aux besoins spécifiques </w:t>
      </w:r>
      <w:r w:rsidR="00191643" w:rsidRPr="006807A5">
        <w:rPr>
          <w:sz w:val="23"/>
          <w:szCs w:val="23"/>
        </w:rPr>
        <w:t>relatifs à la santé</w:t>
      </w:r>
      <w:r w:rsidR="00191643">
        <w:rPr>
          <w:sz w:val="23"/>
          <w:szCs w:val="23"/>
        </w:rPr>
        <w:t xml:space="preserve"> </w:t>
      </w:r>
      <w:r w:rsidR="0056429F">
        <w:rPr>
          <w:sz w:val="23"/>
          <w:szCs w:val="23"/>
        </w:rPr>
        <w:t xml:space="preserve">des adolescents et des </w:t>
      </w:r>
      <w:r w:rsidR="0056429F" w:rsidRPr="006807A5">
        <w:rPr>
          <w:sz w:val="23"/>
          <w:szCs w:val="23"/>
        </w:rPr>
        <w:t>jeunes</w:t>
      </w:r>
      <w:r w:rsidR="00112F32" w:rsidRPr="006807A5">
        <w:rPr>
          <w:sz w:val="23"/>
          <w:szCs w:val="23"/>
        </w:rPr>
        <w:t xml:space="preserve"> au Maroc</w:t>
      </w:r>
      <w:r w:rsidR="0056429F" w:rsidRPr="006807A5">
        <w:rPr>
          <w:sz w:val="23"/>
          <w:szCs w:val="23"/>
        </w:rPr>
        <w:t>.</w:t>
      </w:r>
    </w:p>
    <w:p w14:paraId="6BD47738" w14:textId="77777777" w:rsidR="009E4D4A" w:rsidRDefault="009E4D4A" w:rsidP="002E53E8">
      <w:pPr>
        <w:pStyle w:val="Default"/>
        <w:rPr>
          <w:sz w:val="23"/>
          <w:szCs w:val="23"/>
        </w:rPr>
      </w:pPr>
    </w:p>
    <w:p w14:paraId="575E47EA" w14:textId="77777777" w:rsidR="0056429F" w:rsidRDefault="0056429F" w:rsidP="00A57DAC">
      <w:pPr>
        <w:pStyle w:val="Default"/>
        <w:rPr>
          <w:sz w:val="23"/>
          <w:szCs w:val="23"/>
        </w:rPr>
      </w:pPr>
    </w:p>
    <w:p w14:paraId="56F9BC5D" w14:textId="77777777" w:rsidR="00A57DAC" w:rsidRDefault="00A57DAC" w:rsidP="00A57DAC">
      <w:pPr>
        <w:pStyle w:val="Default"/>
        <w:rPr>
          <w:sz w:val="28"/>
          <w:szCs w:val="28"/>
        </w:rPr>
      </w:pPr>
      <w:r>
        <w:rPr>
          <w:b/>
          <w:bCs/>
          <w:sz w:val="26"/>
          <w:szCs w:val="26"/>
        </w:rPr>
        <w:t xml:space="preserve">3- </w:t>
      </w:r>
      <w:r>
        <w:rPr>
          <w:b/>
          <w:bCs/>
          <w:sz w:val="28"/>
          <w:szCs w:val="28"/>
        </w:rPr>
        <w:t xml:space="preserve">Objectifs spécifiques </w:t>
      </w:r>
    </w:p>
    <w:p w14:paraId="45BC2C41" w14:textId="77777777" w:rsidR="00A57DAC" w:rsidRDefault="00A57DAC" w:rsidP="00A57DAC">
      <w:pPr>
        <w:pStyle w:val="Default"/>
        <w:rPr>
          <w:sz w:val="16"/>
          <w:szCs w:val="16"/>
        </w:rPr>
      </w:pPr>
      <w:r>
        <w:rPr>
          <w:sz w:val="16"/>
          <w:szCs w:val="16"/>
        </w:rPr>
        <w:t xml:space="preserve">……………………………..……….………………………………………………………………………………………………................................................ </w:t>
      </w:r>
    </w:p>
    <w:p w14:paraId="5EFA85BD" w14:textId="77777777" w:rsidR="008F60EA" w:rsidRDefault="008F60EA" w:rsidP="00A57DAC">
      <w:pPr>
        <w:pStyle w:val="Default"/>
        <w:rPr>
          <w:sz w:val="16"/>
          <w:szCs w:val="16"/>
        </w:rPr>
      </w:pPr>
    </w:p>
    <w:p w14:paraId="4BE9927B" w14:textId="489CD60A" w:rsidR="00A57DAC" w:rsidRDefault="00C912A7" w:rsidP="00CA1B5F">
      <w:pPr>
        <w:pStyle w:val="Default"/>
        <w:numPr>
          <w:ilvl w:val="0"/>
          <w:numId w:val="4"/>
        </w:numPr>
        <w:spacing w:before="120" w:after="120"/>
        <w:ind w:left="357" w:hanging="357"/>
        <w:jc w:val="both"/>
        <w:rPr>
          <w:sz w:val="23"/>
          <w:szCs w:val="23"/>
        </w:rPr>
      </w:pPr>
      <w:r>
        <w:rPr>
          <w:sz w:val="23"/>
          <w:szCs w:val="23"/>
        </w:rPr>
        <w:t>Identifier les</w:t>
      </w:r>
      <w:r w:rsidR="00866773">
        <w:rPr>
          <w:sz w:val="23"/>
          <w:szCs w:val="23"/>
        </w:rPr>
        <w:t xml:space="preserve"> lacunes et les incohérences dans le cadre juridique existant concernant la santé des adolescents et des jeunes</w:t>
      </w:r>
      <w:r w:rsidR="004D2733">
        <w:rPr>
          <w:sz w:val="23"/>
          <w:szCs w:val="23"/>
        </w:rPr>
        <w:t xml:space="preserve">, mettant particulièrement l’accent sur la </w:t>
      </w:r>
      <w:proofErr w:type="gramStart"/>
      <w:r w:rsidR="004D2733">
        <w:rPr>
          <w:sz w:val="23"/>
          <w:szCs w:val="23"/>
        </w:rPr>
        <w:t>SSR</w:t>
      </w:r>
      <w:r w:rsidR="00A57DAC">
        <w:rPr>
          <w:sz w:val="23"/>
          <w:szCs w:val="23"/>
        </w:rPr>
        <w:t>;</w:t>
      </w:r>
      <w:proofErr w:type="gramEnd"/>
      <w:r w:rsidR="00A57DAC">
        <w:rPr>
          <w:sz w:val="23"/>
          <w:szCs w:val="23"/>
        </w:rPr>
        <w:t xml:space="preserve"> </w:t>
      </w:r>
    </w:p>
    <w:p w14:paraId="5AA544F6" w14:textId="0A119316" w:rsidR="004D2733" w:rsidRDefault="004D2733" w:rsidP="00CA1B5F">
      <w:pPr>
        <w:pStyle w:val="Default"/>
        <w:numPr>
          <w:ilvl w:val="0"/>
          <w:numId w:val="4"/>
        </w:numPr>
        <w:spacing w:before="120" w:after="120"/>
        <w:ind w:left="357" w:hanging="357"/>
        <w:jc w:val="both"/>
        <w:rPr>
          <w:sz w:val="23"/>
          <w:szCs w:val="23"/>
        </w:rPr>
      </w:pPr>
      <w:r>
        <w:rPr>
          <w:sz w:val="23"/>
          <w:szCs w:val="23"/>
        </w:rPr>
        <w:t>Evaluer la conformité du cadre juridique actuel avec les normes internationales et les droits humains, en particulier en ce qui concerne l’accès des adolescents et des jeunes aux services de s</w:t>
      </w:r>
      <w:r w:rsidR="006807A5">
        <w:rPr>
          <w:sz w:val="23"/>
          <w:szCs w:val="23"/>
        </w:rPr>
        <w:t xml:space="preserve">anté sexuelles et </w:t>
      </w:r>
      <w:proofErr w:type="gramStart"/>
      <w:r w:rsidR="006807A5">
        <w:rPr>
          <w:sz w:val="23"/>
          <w:szCs w:val="23"/>
        </w:rPr>
        <w:t>reproductives</w:t>
      </w:r>
      <w:r>
        <w:rPr>
          <w:sz w:val="23"/>
          <w:szCs w:val="23"/>
        </w:rPr>
        <w:t>;</w:t>
      </w:r>
      <w:proofErr w:type="gramEnd"/>
    </w:p>
    <w:p w14:paraId="47C067E0" w14:textId="0A34078D" w:rsidR="004D2733" w:rsidRDefault="004D2733" w:rsidP="00CA1B5F">
      <w:pPr>
        <w:pStyle w:val="Default"/>
        <w:numPr>
          <w:ilvl w:val="0"/>
          <w:numId w:val="4"/>
        </w:numPr>
        <w:spacing w:before="120" w:after="120"/>
        <w:ind w:left="357" w:hanging="357"/>
        <w:jc w:val="both"/>
        <w:rPr>
          <w:sz w:val="23"/>
          <w:szCs w:val="23"/>
        </w:rPr>
      </w:pPr>
      <w:r>
        <w:rPr>
          <w:sz w:val="23"/>
          <w:szCs w:val="23"/>
        </w:rPr>
        <w:t>Examiner les obstacles juridiques</w:t>
      </w:r>
      <w:r w:rsidR="00894AA2">
        <w:rPr>
          <w:sz w:val="23"/>
          <w:szCs w:val="23"/>
        </w:rPr>
        <w:t xml:space="preserve"> et réglementaire,</w:t>
      </w:r>
      <w:r>
        <w:rPr>
          <w:sz w:val="23"/>
          <w:szCs w:val="23"/>
        </w:rPr>
        <w:t xml:space="preserve"> qui entravent l’accès des adolescents et des jeunes aux services de santé sexuelle et reproductive, ainsi que les solutions </w:t>
      </w:r>
      <w:r w:rsidR="006807A5">
        <w:rPr>
          <w:sz w:val="23"/>
          <w:szCs w:val="23"/>
        </w:rPr>
        <w:t xml:space="preserve">potentielles pour les </w:t>
      </w:r>
      <w:r w:rsidR="008031C6">
        <w:rPr>
          <w:sz w:val="23"/>
          <w:szCs w:val="23"/>
        </w:rPr>
        <w:t>surmonter ;</w:t>
      </w:r>
    </w:p>
    <w:p w14:paraId="3B5DD384" w14:textId="538B20B0" w:rsidR="004D2733" w:rsidRDefault="004D2733" w:rsidP="002E53E8">
      <w:pPr>
        <w:pStyle w:val="Default"/>
        <w:numPr>
          <w:ilvl w:val="0"/>
          <w:numId w:val="4"/>
        </w:numPr>
        <w:spacing w:before="120" w:after="120"/>
        <w:ind w:left="357" w:hanging="357"/>
        <w:jc w:val="both"/>
        <w:rPr>
          <w:sz w:val="23"/>
          <w:szCs w:val="23"/>
        </w:rPr>
      </w:pPr>
      <w:r>
        <w:rPr>
          <w:sz w:val="23"/>
          <w:szCs w:val="23"/>
        </w:rPr>
        <w:t>Evaluer l’</w:t>
      </w:r>
      <w:r w:rsidR="002E53E8">
        <w:rPr>
          <w:sz w:val="23"/>
          <w:szCs w:val="23"/>
        </w:rPr>
        <w:t>effet</w:t>
      </w:r>
      <w:r>
        <w:rPr>
          <w:sz w:val="23"/>
          <w:szCs w:val="23"/>
        </w:rPr>
        <w:t xml:space="preserve"> des lois et des politiques existantes sur la santé des adolescents et des jeunes</w:t>
      </w:r>
      <w:r w:rsidR="008C5B28">
        <w:rPr>
          <w:sz w:val="23"/>
          <w:szCs w:val="23"/>
        </w:rPr>
        <w:t xml:space="preserve">, en mettant en évidence les réussites et les défis </w:t>
      </w:r>
      <w:r w:rsidR="008031C6">
        <w:rPr>
          <w:sz w:val="23"/>
          <w:szCs w:val="23"/>
        </w:rPr>
        <w:t>rencontrés ;</w:t>
      </w:r>
    </w:p>
    <w:p w14:paraId="19885250" w14:textId="77777777" w:rsidR="008C5B28" w:rsidRDefault="008C5B28" w:rsidP="00CA1B5F">
      <w:pPr>
        <w:pStyle w:val="Default"/>
        <w:numPr>
          <w:ilvl w:val="0"/>
          <w:numId w:val="4"/>
        </w:numPr>
        <w:spacing w:before="120" w:after="120"/>
        <w:ind w:left="357" w:hanging="357"/>
        <w:jc w:val="both"/>
        <w:rPr>
          <w:sz w:val="23"/>
          <w:szCs w:val="23"/>
        </w:rPr>
      </w:pPr>
      <w:r>
        <w:rPr>
          <w:sz w:val="23"/>
          <w:szCs w:val="23"/>
        </w:rPr>
        <w:t xml:space="preserve">Identifier les meilleurs pratiques et des leçons apprises au niveau national </w:t>
      </w:r>
      <w:r w:rsidR="00AE68F0">
        <w:rPr>
          <w:sz w:val="23"/>
          <w:szCs w:val="23"/>
        </w:rPr>
        <w:t xml:space="preserve">et </w:t>
      </w:r>
      <w:r>
        <w:rPr>
          <w:sz w:val="23"/>
          <w:szCs w:val="23"/>
        </w:rPr>
        <w:t xml:space="preserve">international en matière de législation et de politiques de santé des adolescents et des jeunes, afin d’informer les recommandations pour l’évaluation du cadre juridique.  </w:t>
      </w:r>
    </w:p>
    <w:p w14:paraId="1DCA74FF" w14:textId="77777777" w:rsidR="008C5B28" w:rsidRDefault="008C5B28" w:rsidP="008C5B28">
      <w:pPr>
        <w:pStyle w:val="Default"/>
        <w:rPr>
          <w:sz w:val="23"/>
          <w:szCs w:val="23"/>
        </w:rPr>
      </w:pPr>
      <w:r>
        <w:rPr>
          <w:sz w:val="23"/>
          <w:szCs w:val="23"/>
        </w:rPr>
        <w:t xml:space="preserve"> </w:t>
      </w:r>
    </w:p>
    <w:p w14:paraId="7AF71B5F" w14:textId="77777777" w:rsidR="00A57DAC" w:rsidRDefault="00A57DAC" w:rsidP="008C5B28">
      <w:pPr>
        <w:pStyle w:val="Default"/>
        <w:rPr>
          <w:rFonts w:cstheme="minorBidi"/>
          <w:color w:val="auto"/>
          <w:sz w:val="26"/>
          <w:szCs w:val="26"/>
        </w:rPr>
      </w:pPr>
      <w:r>
        <w:rPr>
          <w:rFonts w:cstheme="minorBidi"/>
          <w:b/>
          <w:bCs/>
          <w:color w:val="auto"/>
          <w:sz w:val="26"/>
          <w:szCs w:val="26"/>
        </w:rPr>
        <w:t xml:space="preserve">4- Résultats attendus </w:t>
      </w:r>
    </w:p>
    <w:p w14:paraId="74E20950" w14:textId="77777777" w:rsidR="00A57DAC" w:rsidRDefault="00A57DAC" w:rsidP="00A57DAC">
      <w:pPr>
        <w:pStyle w:val="Default"/>
        <w:rPr>
          <w:color w:val="auto"/>
          <w:sz w:val="16"/>
          <w:szCs w:val="16"/>
        </w:rPr>
      </w:pPr>
      <w:r>
        <w:rPr>
          <w:color w:val="auto"/>
          <w:sz w:val="16"/>
          <w:szCs w:val="16"/>
        </w:rPr>
        <w:t xml:space="preserve">……………………………..……….………………………………………………………………………………………………................................................ </w:t>
      </w:r>
    </w:p>
    <w:p w14:paraId="1E8C415E" w14:textId="77777777" w:rsidR="008F60EA" w:rsidRDefault="008F60EA" w:rsidP="00A57DAC">
      <w:pPr>
        <w:pStyle w:val="Default"/>
        <w:rPr>
          <w:color w:val="auto"/>
          <w:sz w:val="16"/>
          <w:szCs w:val="16"/>
        </w:rPr>
      </w:pPr>
    </w:p>
    <w:p w14:paraId="05B47E01" w14:textId="7A59A315" w:rsidR="008C5B28" w:rsidRPr="006807A5" w:rsidRDefault="00E42A1E" w:rsidP="00CA1B5F">
      <w:pPr>
        <w:pStyle w:val="Default"/>
        <w:numPr>
          <w:ilvl w:val="0"/>
          <w:numId w:val="4"/>
        </w:numPr>
        <w:spacing w:before="120" w:after="120"/>
        <w:ind w:left="357" w:hanging="357"/>
        <w:jc w:val="both"/>
        <w:rPr>
          <w:sz w:val="23"/>
          <w:szCs w:val="23"/>
        </w:rPr>
      </w:pPr>
      <w:r w:rsidRPr="006807A5">
        <w:rPr>
          <w:sz w:val="23"/>
          <w:szCs w:val="23"/>
        </w:rPr>
        <w:t>Une a</w:t>
      </w:r>
      <w:r w:rsidR="008C5B28" w:rsidRPr="006807A5">
        <w:rPr>
          <w:sz w:val="23"/>
          <w:szCs w:val="23"/>
        </w:rPr>
        <w:t>nalyse détaillée des lois et réglementations actuelles </w:t>
      </w:r>
      <w:r w:rsidRPr="006807A5">
        <w:rPr>
          <w:sz w:val="23"/>
          <w:szCs w:val="23"/>
        </w:rPr>
        <w:t>est</w:t>
      </w:r>
      <w:r w:rsidR="00112F32" w:rsidRPr="006807A5">
        <w:rPr>
          <w:sz w:val="23"/>
          <w:szCs w:val="23"/>
        </w:rPr>
        <w:t xml:space="preserve"> réalisée ;</w:t>
      </w:r>
    </w:p>
    <w:p w14:paraId="7852B172" w14:textId="30FDE097" w:rsidR="00A57DAC" w:rsidRPr="006807A5" w:rsidRDefault="00E42A1E" w:rsidP="00CA1B5F">
      <w:pPr>
        <w:pStyle w:val="Default"/>
        <w:numPr>
          <w:ilvl w:val="0"/>
          <w:numId w:val="4"/>
        </w:numPr>
        <w:spacing w:before="120" w:after="120"/>
        <w:ind w:left="357" w:hanging="357"/>
        <w:jc w:val="both"/>
        <w:rPr>
          <w:sz w:val="23"/>
          <w:szCs w:val="23"/>
        </w:rPr>
      </w:pPr>
      <w:r w:rsidRPr="006807A5">
        <w:rPr>
          <w:sz w:val="23"/>
          <w:szCs w:val="23"/>
        </w:rPr>
        <w:t>Les l</w:t>
      </w:r>
      <w:r w:rsidR="008C5B28" w:rsidRPr="006807A5">
        <w:rPr>
          <w:sz w:val="23"/>
          <w:szCs w:val="23"/>
        </w:rPr>
        <w:t xml:space="preserve">acunes </w:t>
      </w:r>
      <w:r w:rsidR="00D00FEA" w:rsidRPr="006807A5">
        <w:rPr>
          <w:sz w:val="23"/>
          <w:szCs w:val="23"/>
        </w:rPr>
        <w:t>dans la protection des droits en matière de santé des adolescents et des jeunes</w:t>
      </w:r>
      <w:r w:rsidRPr="006807A5">
        <w:rPr>
          <w:sz w:val="23"/>
          <w:szCs w:val="23"/>
        </w:rPr>
        <w:t xml:space="preserve"> sont identifiées</w:t>
      </w:r>
      <w:r w:rsidR="00D00FEA" w:rsidRPr="006807A5">
        <w:rPr>
          <w:sz w:val="23"/>
          <w:szCs w:val="23"/>
        </w:rPr>
        <w:t> ;</w:t>
      </w:r>
      <w:r w:rsidR="00A57DAC" w:rsidRPr="006807A5">
        <w:rPr>
          <w:sz w:val="23"/>
          <w:szCs w:val="23"/>
        </w:rPr>
        <w:t xml:space="preserve"> </w:t>
      </w:r>
    </w:p>
    <w:p w14:paraId="7DC1FC0F" w14:textId="169DDDC5" w:rsidR="00A57DAC" w:rsidRPr="006807A5" w:rsidRDefault="00E42A1E" w:rsidP="00EF01F9">
      <w:pPr>
        <w:pStyle w:val="Default"/>
        <w:numPr>
          <w:ilvl w:val="0"/>
          <w:numId w:val="4"/>
        </w:numPr>
        <w:spacing w:before="120" w:after="120"/>
        <w:ind w:left="357" w:hanging="357"/>
        <w:jc w:val="both"/>
        <w:rPr>
          <w:sz w:val="23"/>
          <w:szCs w:val="23"/>
        </w:rPr>
      </w:pPr>
      <w:r w:rsidRPr="006807A5">
        <w:rPr>
          <w:sz w:val="23"/>
          <w:szCs w:val="23"/>
        </w:rPr>
        <w:t>Les r</w:t>
      </w:r>
      <w:r w:rsidR="00D00FEA" w:rsidRPr="006807A5">
        <w:rPr>
          <w:sz w:val="23"/>
          <w:szCs w:val="23"/>
        </w:rPr>
        <w:t xml:space="preserve">ecommandations pour des réformes législatives </w:t>
      </w:r>
      <w:r w:rsidR="009E4D4A" w:rsidRPr="006807A5">
        <w:rPr>
          <w:sz w:val="23"/>
          <w:szCs w:val="23"/>
        </w:rPr>
        <w:t>et/</w:t>
      </w:r>
      <w:r w:rsidR="00D00FEA" w:rsidRPr="006807A5">
        <w:rPr>
          <w:sz w:val="23"/>
          <w:szCs w:val="23"/>
        </w:rPr>
        <w:t>ou politiques</w:t>
      </w:r>
      <w:r w:rsidR="005D0DCA" w:rsidRPr="006807A5">
        <w:rPr>
          <w:sz w:val="23"/>
          <w:szCs w:val="23"/>
        </w:rPr>
        <w:t>, avec s</w:t>
      </w:r>
      <w:r w:rsidR="00D00FEA" w:rsidRPr="006807A5">
        <w:rPr>
          <w:sz w:val="23"/>
          <w:szCs w:val="23"/>
        </w:rPr>
        <w:t>uggestions pour améliorer le cadre juridique</w:t>
      </w:r>
      <w:r w:rsidR="009E4D4A" w:rsidRPr="006807A5">
        <w:rPr>
          <w:sz w:val="23"/>
          <w:szCs w:val="23"/>
        </w:rPr>
        <w:t xml:space="preserve"> régissant les domaines et les déterminants</w:t>
      </w:r>
      <w:r w:rsidR="00D00FEA" w:rsidRPr="006807A5">
        <w:rPr>
          <w:sz w:val="23"/>
          <w:szCs w:val="23"/>
        </w:rPr>
        <w:t xml:space="preserve"> </w:t>
      </w:r>
      <w:r w:rsidR="00BB4996" w:rsidRPr="006807A5">
        <w:rPr>
          <w:sz w:val="23"/>
          <w:szCs w:val="23"/>
        </w:rPr>
        <w:t>de</w:t>
      </w:r>
      <w:r w:rsidR="00D00FEA" w:rsidRPr="006807A5">
        <w:rPr>
          <w:sz w:val="23"/>
          <w:szCs w:val="23"/>
        </w:rPr>
        <w:t xml:space="preserve"> </w:t>
      </w:r>
      <w:r w:rsidR="009E4D4A" w:rsidRPr="006807A5">
        <w:rPr>
          <w:sz w:val="23"/>
          <w:szCs w:val="23"/>
        </w:rPr>
        <w:t xml:space="preserve">la santé </w:t>
      </w:r>
      <w:r w:rsidR="00EF01F9" w:rsidRPr="006807A5">
        <w:rPr>
          <w:sz w:val="23"/>
          <w:szCs w:val="23"/>
        </w:rPr>
        <w:t xml:space="preserve">y compris la SSR </w:t>
      </w:r>
      <w:r w:rsidR="009E4D4A" w:rsidRPr="006807A5">
        <w:rPr>
          <w:sz w:val="23"/>
          <w:szCs w:val="23"/>
        </w:rPr>
        <w:t>des adolescents et d</w:t>
      </w:r>
      <w:r w:rsidR="00D00FEA" w:rsidRPr="006807A5">
        <w:rPr>
          <w:sz w:val="23"/>
          <w:szCs w:val="23"/>
        </w:rPr>
        <w:t>es jeunes</w:t>
      </w:r>
      <w:r w:rsidRPr="006807A5">
        <w:rPr>
          <w:sz w:val="23"/>
          <w:szCs w:val="23"/>
        </w:rPr>
        <w:t xml:space="preserve"> sont développes</w:t>
      </w:r>
      <w:r w:rsidR="00CA29DE" w:rsidRPr="006807A5">
        <w:rPr>
          <w:sz w:val="23"/>
          <w:szCs w:val="23"/>
        </w:rPr>
        <w:t>.</w:t>
      </w:r>
    </w:p>
    <w:p w14:paraId="663E19BC" w14:textId="77777777" w:rsidR="00EF01F9" w:rsidRDefault="00EF01F9" w:rsidP="00A57DAC">
      <w:pPr>
        <w:pStyle w:val="Default"/>
        <w:rPr>
          <w:sz w:val="23"/>
          <w:szCs w:val="23"/>
        </w:rPr>
      </w:pPr>
    </w:p>
    <w:p w14:paraId="15EFD253" w14:textId="77777777" w:rsidR="00A57DAC" w:rsidRDefault="00A57DAC" w:rsidP="00A57DAC">
      <w:pPr>
        <w:pStyle w:val="Default"/>
        <w:rPr>
          <w:color w:val="auto"/>
          <w:sz w:val="26"/>
          <w:szCs w:val="26"/>
        </w:rPr>
      </w:pPr>
      <w:r>
        <w:rPr>
          <w:b/>
          <w:bCs/>
          <w:color w:val="auto"/>
          <w:sz w:val="26"/>
          <w:szCs w:val="26"/>
        </w:rPr>
        <w:t xml:space="preserve">5- Cible de la consultation </w:t>
      </w:r>
    </w:p>
    <w:p w14:paraId="6F238FE8" w14:textId="1BBE3EF4" w:rsidR="008F60EA" w:rsidRDefault="00A57DAC" w:rsidP="00546C52">
      <w:pPr>
        <w:pStyle w:val="Default"/>
        <w:rPr>
          <w:color w:val="auto"/>
          <w:sz w:val="16"/>
          <w:szCs w:val="16"/>
        </w:rPr>
      </w:pPr>
      <w:r>
        <w:rPr>
          <w:color w:val="auto"/>
          <w:sz w:val="16"/>
          <w:szCs w:val="16"/>
        </w:rPr>
        <w:t xml:space="preserve">……………………………..……….………………………………………………………………………………………………................................................ </w:t>
      </w:r>
    </w:p>
    <w:p w14:paraId="5D2525E6" w14:textId="4A5C1F00" w:rsidR="00E42A1E" w:rsidRPr="006807A5" w:rsidRDefault="00E42A1E" w:rsidP="006807A5">
      <w:pPr>
        <w:pStyle w:val="Default"/>
        <w:numPr>
          <w:ilvl w:val="0"/>
          <w:numId w:val="4"/>
        </w:numPr>
        <w:spacing w:before="120" w:after="120"/>
        <w:ind w:left="357" w:hanging="357"/>
        <w:jc w:val="both"/>
        <w:rPr>
          <w:sz w:val="23"/>
          <w:szCs w:val="23"/>
        </w:rPr>
      </w:pPr>
      <w:r w:rsidRPr="006807A5">
        <w:rPr>
          <w:sz w:val="23"/>
          <w:szCs w:val="23"/>
        </w:rPr>
        <w:t xml:space="preserve">Afin d'analyser l'impact des lois et règlements sur la santé des adolescents et des jeunes, en particulier en ce qui concerne la Santé Sexuelle et Reproductive, une approche participative est indispensable. Cela implique la collaboration et l'engagement des divers acteurs clés et parties prenantes travaillant dans </w:t>
      </w:r>
      <w:r w:rsidR="006807A5" w:rsidRPr="006807A5">
        <w:rPr>
          <w:sz w:val="23"/>
          <w:szCs w:val="23"/>
        </w:rPr>
        <w:t>ce domaine </w:t>
      </w:r>
      <w:r w:rsidR="006807A5">
        <w:rPr>
          <w:sz w:val="23"/>
          <w:szCs w:val="23"/>
        </w:rPr>
        <w:t>tel que les départements ministériels œuvrant avec les adolescents et les jeunes, ainsi que les ONG thématiques, etc.</w:t>
      </w:r>
    </w:p>
    <w:p w14:paraId="51AF694D" w14:textId="77777777" w:rsidR="00561481" w:rsidRPr="00546C52" w:rsidRDefault="00561481" w:rsidP="00346E3B">
      <w:pPr>
        <w:pStyle w:val="Default"/>
        <w:rPr>
          <w:b/>
          <w:bCs/>
          <w:color w:val="auto"/>
          <w:sz w:val="16"/>
          <w:szCs w:val="16"/>
        </w:rPr>
      </w:pPr>
    </w:p>
    <w:p w14:paraId="51678943" w14:textId="77777777" w:rsidR="00A57DAC" w:rsidRDefault="00A57DAC" w:rsidP="00346E3B">
      <w:pPr>
        <w:pStyle w:val="Default"/>
        <w:rPr>
          <w:b/>
          <w:bCs/>
          <w:color w:val="auto"/>
          <w:sz w:val="28"/>
          <w:szCs w:val="28"/>
        </w:rPr>
      </w:pPr>
      <w:r>
        <w:rPr>
          <w:b/>
          <w:bCs/>
          <w:color w:val="auto"/>
          <w:sz w:val="26"/>
          <w:szCs w:val="26"/>
        </w:rPr>
        <w:t xml:space="preserve">6- </w:t>
      </w:r>
      <w:r>
        <w:rPr>
          <w:b/>
          <w:bCs/>
          <w:color w:val="auto"/>
          <w:sz w:val="28"/>
          <w:szCs w:val="28"/>
        </w:rPr>
        <w:t xml:space="preserve">Missions du consultant </w:t>
      </w:r>
    </w:p>
    <w:p w14:paraId="674F48E1" w14:textId="35C482FE" w:rsidR="00561481" w:rsidRDefault="00346E3B" w:rsidP="00546C52">
      <w:pPr>
        <w:pStyle w:val="Default"/>
        <w:rPr>
          <w:color w:val="auto"/>
          <w:sz w:val="16"/>
          <w:szCs w:val="16"/>
        </w:rPr>
      </w:pPr>
      <w:r>
        <w:rPr>
          <w:color w:val="auto"/>
          <w:sz w:val="16"/>
          <w:szCs w:val="16"/>
        </w:rPr>
        <w:t xml:space="preserve">……………………………..……….………………………………………………………………………………………………................................................ </w:t>
      </w:r>
    </w:p>
    <w:p w14:paraId="67ABBCB9" w14:textId="77777777" w:rsidR="00346E3B" w:rsidRDefault="00346E3B" w:rsidP="004B53DD">
      <w:pPr>
        <w:pStyle w:val="Default"/>
        <w:numPr>
          <w:ilvl w:val="0"/>
          <w:numId w:val="5"/>
        </w:numPr>
        <w:spacing w:before="120" w:after="120"/>
        <w:ind w:left="357" w:hanging="357"/>
        <w:jc w:val="both"/>
        <w:rPr>
          <w:sz w:val="23"/>
          <w:szCs w:val="23"/>
        </w:rPr>
      </w:pPr>
      <w:r w:rsidRPr="00346E3B">
        <w:rPr>
          <w:sz w:val="23"/>
          <w:szCs w:val="23"/>
        </w:rPr>
        <w:t>Analyse approfondie des lois et réglementations existantes ;</w:t>
      </w:r>
    </w:p>
    <w:p w14:paraId="4273EF02" w14:textId="54BF845C" w:rsidR="00346E3B" w:rsidRPr="00346E3B" w:rsidRDefault="00346E3B" w:rsidP="005E075F">
      <w:pPr>
        <w:pStyle w:val="Default"/>
        <w:numPr>
          <w:ilvl w:val="0"/>
          <w:numId w:val="5"/>
        </w:numPr>
        <w:spacing w:before="120" w:after="120"/>
        <w:ind w:left="357" w:hanging="357"/>
        <w:jc w:val="both"/>
        <w:rPr>
          <w:sz w:val="23"/>
          <w:szCs w:val="23"/>
        </w:rPr>
      </w:pPr>
      <w:r>
        <w:rPr>
          <w:sz w:val="23"/>
          <w:szCs w:val="23"/>
        </w:rPr>
        <w:t>Identification des lacunes potentielles</w:t>
      </w:r>
      <w:r w:rsidR="005E075F">
        <w:rPr>
          <w:sz w:val="23"/>
          <w:szCs w:val="23"/>
        </w:rPr>
        <w:t xml:space="preserve"> et inadéquation.</w:t>
      </w:r>
    </w:p>
    <w:p w14:paraId="7504A401" w14:textId="68B69DD6" w:rsidR="00561481" w:rsidRDefault="00E000EF" w:rsidP="00546C52">
      <w:pPr>
        <w:pStyle w:val="Default"/>
        <w:numPr>
          <w:ilvl w:val="0"/>
          <w:numId w:val="5"/>
        </w:numPr>
        <w:spacing w:before="120" w:after="120"/>
        <w:ind w:left="357" w:hanging="357"/>
        <w:jc w:val="both"/>
        <w:rPr>
          <w:sz w:val="23"/>
          <w:szCs w:val="23"/>
        </w:rPr>
      </w:pPr>
      <w:r>
        <w:rPr>
          <w:sz w:val="23"/>
          <w:szCs w:val="23"/>
        </w:rPr>
        <w:t xml:space="preserve">Formulation </w:t>
      </w:r>
      <w:r w:rsidRPr="00346E3B">
        <w:rPr>
          <w:sz w:val="23"/>
          <w:szCs w:val="23"/>
        </w:rPr>
        <w:t>de</w:t>
      </w:r>
      <w:r w:rsidR="00346E3B" w:rsidRPr="00346E3B">
        <w:rPr>
          <w:sz w:val="23"/>
          <w:szCs w:val="23"/>
        </w:rPr>
        <w:t xml:space="preserve"> recommandations pour renforcer le cadre juridique avec les parties prenantes locales pour garantir une approche inclusive et adaptée aux besoins spécifiques du pays.</w:t>
      </w:r>
    </w:p>
    <w:p w14:paraId="2D0CFF1D" w14:textId="4456EA2C" w:rsidR="00F72237" w:rsidRDefault="00F72237" w:rsidP="00546C52">
      <w:pPr>
        <w:pStyle w:val="Default"/>
        <w:numPr>
          <w:ilvl w:val="0"/>
          <w:numId w:val="5"/>
        </w:numPr>
        <w:spacing w:before="120" w:after="120"/>
        <w:ind w:left="357" w:hanging="357"/>
        <w:jc w:val="both"/>
        <w:rPr>
          <w:sz w:val="23"/>
          <w:szCs w:val="23"/>
        </w:rPr>
      </w:pPr>
      <w:r>
        <w:rPr>
          <w:sz w:val="23"/>
          <w:szCs w:val="23"/>
        </w:rPr>
        <w:t xml:space="preserve">Assurer une coordination étroite avec l’équipe de UNFPA et de la division de la Santé Scolaire et Universitaire - (DP/MSPS) </w:t>
      </w:r>
    </w:p>
    <w:p w14:paraId="4E14B22C" w14:textId="77777777" w:rsidR="00561481" w:rsidRDefault="00561481" w:rsidP="00B814C7">
      <w:pPr>
        <w:pStyle w:val="Default"/>
        <w:rPr>
          <w:b/>
          <w:bCs/>
          <w:color w:val="auto"/>
          <w:sz w:val="26"/>
          <w:szCs w:val="26"/>
        </w:rPr>
      </w:pPr>
    </w:p>
    <w:p w14:paraId="0B042CE9" w14:textId="67E46017" w:rsidR="00B814C7" w:rsidRDefault="00B814C7" w:rsidP="005E075F">
      <w:pPr>
        <w:pStyle w:val="Default"/>
        <w:rPr>
          <w:b/>
          <w:bCs/>
          <w:color w:val="auto"/>
          <w:sz w:val="26"/>
          <w:szCs w:val="26"/>
        </w:rPr>
      </w:pPr>
      <w:r w:rsidRPr="00B814C7">
        <w:rPr>
          <w:b/>
          <w:bCs/>
          <w:color w:val="auto"/>
          <w:sz w:val="26"/>
          <w:szCs w:val="26"/>
        </w:rPr>
        <w:t>7</w:t>
      </w:r>
      <w:r w:rsidR="00B66399" w:rsidRPr="00B814C7">
        <w:rPr>
          <w:b/>
          <w:bCs/>
          <w:color w:val="auto"/>
          <w:sz w:val="26"/>
          <w:szCs w:val="26"/>
        </w:rPr>
        <w:t xml:space="preserve">- </w:t>
      </w:r>
      <w:r w:rsidR="00B66399">
        <w:rPr>
          <w:b/>
          <w:bCs/>
          <w:color w:val="auto"/>
          <w:sz w:val="26"/>
          <w:szCs w:val="26"/>
        </w:rPr>
        <w:t>L</w:t>
      </w:r>
      <w:r w:rsidR="00B66399" w:rsidRPr="00B814C7">
        <w:rPr>
          <w:b/>
          <w:bCs/>
          <w:color w:val="auto"/>
          <w:sz w:val="26"/>
          <w:szCs w:val="26"/>
        </w:rPr>
        <w:t>ivrables</w:t>
      </w:r>
      <w:r w:rsidRPr="00B814C7">
        <w:rPr>
          <w:b/>
          <w:bCs/>
          <w:color w:val="auto"/>
          <w:sz w:val="26"/>
          <w:szCs w:val="26"/>
        </w:rPr>
        <w:t xml:space="preserve"> attendus</w:t>
      </w:r>
      <w:r w:rsidR="008F43FF">
        <w:rPr>
          <w:b/>
          <w:bCs/>
          <w:color w:val="auto"/>
          <w:sz w:val="26"/>
          <w:szCs w:val="26"/>
        </w:rPr>
        <w:t xml:space="preserve"> et durée</w:t>
      </w:r>
      <w:r w:rsidR="005E075F">
        <w:rPr>
          <w:b/>
          <w:bCs/>
          <w:color w:val="auto"/>
          <w:sz w:val="26"/>
          <w:szCs w:val="26"/>
        </w:rPr>
        <w:t> </w:t>
      </w:r>
      <w:r w:rsidR="005E075F" w:rsidRPr="005E075F">
        <w:rPr>
          <w:b/>
          <w:bCs/>
          <w:color w:val="auto"/>
          <w:sz w:val="26"/>
          <w:szCs w:val="26"/>
        </w:rPr>
        <w:t>:</w:t>
      </w:r>
    </w:p>
    <w:p w14:paraId="05DF0CF5" w14:textId="245951C0" w:rsidR="00561481" w:rsidRDefault="00B814C7" w:rsidP="00546C52">
      <w:pPr>
        <w:pStyle w:val="Default"/>
        <w:rPr>
          <w:color w:val="auto"/>
          <w:sz w:val="16"/>
          <w:szCs w:val="16"/>
        </w:rPr>
      </w:pPr>
      <w:r>
        <w:rPr>
          <w:color w:val="auto"/>
          <w:sz w:val="16"/>
          <w:szCs w:val="16"/>
        </w:rPr>
        <w:t xml:space="preserve">……………………………..……….………………………………………………………………………………………………................................................ </w:t>
      </w:r>
    </w:p>
    <w:p w14:paraId="42FED30C" w14:textId="5B3B2373" w:rsidR="009B65FA" w:rsidRDefault="0059525D" w:rsidP="00606D5F">
      <w:pPr>
        <w:pStyle w:val="Default"/>
        <w:numPr>
          <w:ilvl w:val="0"/>
          <w:numId w:val="5"/>
        </w:numPr>
        <w:spacing w:before="120" w:after="120"/>
        <w:ind w:hanging="357"/>
        <w:jc w:val="both"/>
        <w:rPr>
          <w:sz w:val="23"/>
          <w:szCs w:val="23"/>
        </w:rPr>
      </w:pPr>
      <w:r w:rsidRPr="00675D15">
        <w:rPr>
          <w:b/>
          <w:bCs/>
          <w:sz w:val="23"/>
          <w:szCs w:val="23"/>
        </w:rPr>
        <w:t xml:space="preserve">Livrable </w:t>
      </w:r>
      <w:r w:rsidR="00E00560">
        <w:rPr>
          <w:b/>
          <w:bCs/>
          <w:sz w:val="23"/>
          <w:szCs w:val="23"/>
        </w:rPr>
        <w:t>I</w:t>
      </w:r>
      <w:r w:rsidR="00E00560" w:rsidRPr="0059525D">
        <w:rPr>
          <w:sz w:val="23"/>
          <w:szCs w:val="23"/>
        </w:rPr>
        <w:t xml:space="preserve"> :</w:t>
      </w:r>
      <w:r w:rsidRPr="0059525D">
        <w:rPr>
          <w:sz w:val="23"/>
          <w:szCs w:val="23"/>
        </w:rPr>
        <w:t xml:space="preserve"> </w:t>
      </w:r>
      <w:r w:rsidR="00E00560">
        <w:rPr>
          <w:sz w:val="23"/>
          <w:szCs w:val="23"/>
        </w:rPr>
        <w:t>N</w:t>
      </w:r>
      <w:r w:rsidRPr="0059525D">
        <w:rPr>
          <w:sz w:val="23"/>
          <w:szCs w:val="23"/>
        </w:rPr>
        <w:t xml:space="preserve">ote </w:t>
      </w:r>
      <w:r w:rsidR="00EF01F9">
        <w:rPr>
          <w:sz w:val="23"/>
          <w:szCs w:val="23"/>
        </w:rPr>
        <w:t>méthodologique</w:t>
      </w:r>
      <w:r w:rsidR="00AF1A2C">
        <w:rPr>
          <w:sz w:val="23"/>
          <w:szCs w:val="23"/>
        </w:rPr>
        <w:t xml:space="preserve"> </w:t>
      </w:r>
      <w:r w:rsidR="00AF1A2C" w:rsidRPr="006807A5">
        <w:rPr>
          <w:sz w:val="23"/>
          <w:szCs w:val="23"/>
        </w:rPr>
        <w:t>validée</w:t>
      </w:r>
      <w:r w:rsidRPr="006807A5">
        <w:rPr>
          <w:sz w:val="23"/>
          <w:szCs w:val="23"/>
        </w:rPr>
        <w:t xml:space="preserve"> d</w:t>
      </w:r>
      <w:r w:rsidR="00AF1A2C" w:rsidRPr="006807A5">
        <w:rPr>
          <w:sz w:val="23"/>
          <w:szCs w:val="23"/>
        </w:rPr>
        <w:t>e l’étude</w:t>
      </w:r>
      <w:r w:rsidRPr="0059525D">
        <w:rPr>
          <w:sz w:val="23"/>
          <w:szCs w:val="23"/>
        </w:rPr>
        <w:t xml:space="preserve"> </w:t>
      </w:r>
      <w:r w:rsidR="00675D15" w:rsidRPr="00675D15">
        <w:rPr>
          <w:sz w:val="23"/>
          <w:szCs w:val="23"/>
        </w:rPr>
        <w:t>d'évaluation du cadre juridique régissant les domaines et les déterminants de la santé y compris la SSR des adolescents et des jeunes</w:t>
      </w:r>
      <w:r w:rsidR="00546C52">
        <w:rPr>
          <w:sz w:val="23"/>
          <w:szCs w:val="23"/>
        </w:rPr>
        <w:t> ;</w:t>
      </w:r>
    </w:p>
    <w:p w14:paraId="2DB6B2DE" w14:textId="58547D85" w:rsidR="00154D1E" w:rsidRDefault="00154D1E" w:rsidP="00546C52">
      <w:pPr>
        <w:pStyle w:val="Default"/>
        <w:numPr>
          <w:ilvl w:val="0"/>
          <w:numId w:val="5"/>
        </w:numPr>
        <w:spacing w:before="120" w:after="120"/>
        <w:ind w:hanging="357"/>
        <w:jc w:val="both"/>
        <w:rPr>
          <w:sz w:val="23"/>
          <w:szCs w:val="23"/>
        </w:rPr>
      </w:pPr>
      <w:r w:rsidRPr="00E00560">
        <w:rPr>
          <w:b/>
          <w:bCs/>
          <w:sz w:val="23"/>
          <w:szCs w:val="23"/>
        </w:rPr>
        <w:t xml:space="preserve">Livrable </w:t>
      </w:r>
      <w:r w:rsidR="00E00560" w:rsidRPr="00E00560">
        <w:rPr>
          <w:b/>
          <w:bCs/>
          <w:sz w:val="23"/>
          <w:szCs w:val="23"/>
        </w:rPr>
        <w:t>II</w:t>
      </w:r>
      <w:r w:rsidR="00E00560" w:rsidRPr="00B92D5A">
        <w:rPr>
          <w:sz w:val="23"/>
          <w:szCs w:val="23"/>
        </w:rPr>
        <w:t xml:space="preserve"> :</w:t>
      </w:r>
      <w:r w:rsidR="00B92D5A" w:rsidRPr="00B92D5A">
        <w:rPr>
          <w:sz w:val="23"/>
          <w:szCs w:val="23"/>
        </w:rPr>
        <w:t xml:space="preserve"> </w:t>
      </w:r>
      <w:r w:rsidR="00E00560">
        <w:rPr>
          <w:sz w:val="23"/>
          <w:szCs w:val="23"/>
        </w:rPr>
        <w:t>R</w:t>
      </w:r>
      <w:r w:rsidR="00B92D5A" w:rsidRPr="00B92D5A">
        <w:rPr>
          <w:sz w:val="23"/>
          <w:szCs w:val="23"/>
        </w:rPr>
        <w:t>apport sur le benchmark international avec présentation des données probantes sur l'impact du cadre juridique sur la santé des adolescents et des jeunes avec une documentation des bonnes pratiques internationales</w:t>
      </w:r>
      <w:r w:rsidR="009B018C" w:rsidRPr="009B018C">
        <w:rPr>
          <w:sz w:val="23"/>
          <w:szCs w:val="23"/>
        </w:rPr>
        <w:t xml:space="preserve"> pour l'encadrement juridique régissant les domaines et les déterminants</w:t>
      </w:r>
      <w:r w:rsidR="009B018C">
        <w:rPr>
          <w:sz w:val="23"/>
          <w:szCs w:val="23"/>
        </w:rPr>
        <w:t xml:space="preserve"> </w:t>
      </w:r>
      <w:r w:rsidR="009B018C" w:rsidRPr="009B018C">
        <w:rPr>
          <w:sz w:val="23"/>
          <w:szCs w:val="23"/>
        </w:rPr>
        <w:t>des questions de santé des adolescents et des jeunes</w:t>
      </w:r>
      <w:r w:rsidR="00546C52">
        <w:rPr>
          <w:sz w:val="23"/>
          <w:szCs w:val="23"/>
        </w:rPr>
        <w:t> ;</w:t>
      </w:r>
    </w:p>
    <w:p w14:paraId="4CEF5311" w14:textId="391FA336" w:rsidR="00F12949" w:rsidRPr="00DF759B" w:rsidRDefault="004B35BC" w:rsidP="00546C52">
      <w:pPr>
        <w:pStyle w:val="Default"/>
        <w:numPr>
          <w:ilvl w:val="0"/>
          <w:numId w:val="5"/>
        </w:numPr>
        <w:spacing w:before="120" w:after="120"/>
        <w:ind w:hanging="357"/>
        <w:jc w:val="both"/>
        <w:rPr>
          <w:b/>
          <w:bCs/>
          <w:sz w:val="23"/>
          <w:szCs w:val="23"/>
        </w:rPr>
      </w:pPr>
      <w:r w:rsidRPr="00926A70">
        <w:rPr>
          <w:b/>
          <w:bCs/>
          <w:sz w:val="23"/>
          <w:szCs w:val="23"/>
        </w:rPr>
        <w:t>Livrable</w:t>
      </w:r>
      <w:r w:rsidR="000A4F4E" w:rsidRPr="00926A70">
        <w:rPr>
          <w:b/>
          <w:bCs/>
          <w:sz w:val="23"/>
          <w:szCs w:val="23"/>
        </w:rPr>
        <w:t xml:space="preserve"> III</w:t>
      </w:r>
      <w:r w:rsidR="00926A70" w:rsidRPr="00926A70">
        <w:rPr>
          <w:b/>
          <w:bCs/>
          <w:sz w:val="23"/>
          <w:szCs w:val="23"/>
        </w:rPr>
        <w:t xml:space="preserve"> : </w:t>
      </w:r>
      <w:r w:rsidR="006222A6" w:rsidRPr="00DF759B">
        <w:rPr>
          <w:sz w:val="23"/>
          <w:szCs w:val="23"/>
        </w:rPr>
        <w:t xml:space="preserve">Rédaction </w:t>
      </w:r>
      <w:r w:rsidRPr="00DF759B">
        <w:rPr>
          <w:sz w:val="23"/>
          <w:szCs w:val="23"/>
        </w:rPr>
        <w:t xml:space="preserve">du rapport détaillé </w:t>
      </w:r>
      <w:r w:rsidR="006200E4" w:rsidRPr="00DF759B">
        <w:rPr>
          <w:sz w:val="23"/>
          <w:szCs w:val="23"/>
        </w:rPr>
        <w:t>incluant</w:t>
      </w:r>
      <w:r w:rsidRPr="00DF759B">
        <w:rPr>
          <w:sz w:val="23"/>
          <w:szCs w:val="23"/>
        </w:rPr>
        <w:t xml:space="preserve"> la méthodologie de l'analyse du cadre juridique régissant les domaines et les déterminants de la santé</w:t>
      </w:r>
      <w:r w:rsidR="006222A6" w:rsidRPr="00DF759B">
        <w:rPr>
          <w:sz w:val="23"/>
          <w:szCs w:val="23"/>
        </w:rPr>
        <w:t xml:space="preserve"> des adolescents et des jeunes notamment la SSR</w:t>
      </w:r>
      <w:r w:rsidR="006200E4" w:rsidRPr="00DF759B">
        <w:rPr>
          <w:sz w:val="23"/>
          <w:szCs w:val="23"/>
        </w:rPr>
        <w:t xml:space="preserve">, </w:t>
      </w:r>
      <w:r w:rsidR="00BF035F">
        <w:rPr>
          <w:sz w:val="23"/>
          <w:szCs w:val="23"/>
        </w:rPr>
        <w:t xml:space="preserve">ainsi que </w:t>
      </w:r>
      <w:r w:rsidR="007F22E1" w:rsidRPr="00DF759B">
        <w:rPr>
          <w:sz w:val="23"/>
          <w:szCs w:val="23"/>
        </w:rPr>
        <w:t>les résultats de l'évaluation effectuée</w:t>
      </w:r>
      <w:r w:rsidR="00CE415C" w:rsidRPr="00DF759B">
        <w:rPr>
          <w:sz w:val="23"/>
          <w:szCs w:val="23"/>
        </w:rPr>
        <w:t xml:space="preserve"> e</w:t>
      </w:r>
      <w:r w:rsidR="00FF626B">
        <w:rPr>
          <w:sz w:val="23"/>
          <w:szCs w:val="23"/>
        </w:rPr>
        <w:t>t</w:t>
      </w:r>
      <w:r w:rsidR="00CE415C" w:rsidRPr="00DF759B">
        <w:rPr>
          <w:sz w:val="23"/>
          <w:szCs w:val="23"/>
        </w:rPr>
        <w:t xml:space="preserve"> </w:t>
      </w:r>
      <w:r w:rsidR="00FF626B">
        <w:rPr>
          <w:sz w:val="23"/>
          <w:szCs w:val="23"/>
        </w:rPr>
        <w:t>l</w:t>
      </w:r>
      <w:r w:rsidR="00CE415C" w:rsidRPr="00DF759B">
        <w:rPr>
          <w:sz w:val="23"/>
          <w:szCs w:val="23"/>
        </w:rPr>
        <w:t>es recommandations</w:t>
      </w:r>
      <w:r w:rsidR="00DE6D0A" w:rsidRPr="00DF759B">
        <w:rPr>
          <w:sz w:val="23"/>
          <w:szCs w:val="23"/>
        </w:rPr>
        <w:t xml:space="preserve"> avec les pistes d'amélioration du cadre législatif spécifique évalué</w:t>
      </w:r>
      <w:r w:rsidR="000B0897">
        <w:rPr>
          <w:sz w:val="23"/>
          <w:szCs w:val="23"/>
        </w:rPr>
        <w:t>, e</w:t>
      </w:r>
      <w:r w:rsidR="00D113F0" w:rsidRPr="00DF759B">
        <w:rPr>
          <w:sz w:val="23"/>
          <w:szCs w:val="23"/>
        </w:rPr>
        <w:t>t ce</w:t>
      </w:r>
      <w:r w:rsidR="000B0897">
        <w:rPr>
          <w:sz w:val="23"/>
          <w:szCs w:val="23"/>
        </w:rPr>
        <w:t>,</w:t>
      </w:r>
      <w:r w:rsidR="00D113F0" w:rsidRPr="00DF759B">
        <w:rPr>
          <w:sz w:val="23"/>
          <w:szCs w:val="23"/>
        </w:rPr>
        <w:t xml:space="preserve"> selon les étapes suivantes :</w:t>
      </w:r>
    </w:p>
    <w:p w14:paraId="708E245A" w14:textId="53A09BC6" w:rsidR="00D113F0" w:rsidRDefault="00DF759B" w:rsidP="00546C52">
      <w:pPr>
        <w:pStyle w:val="Default"/>
        <w:numPr>
          <w:ilvl w:val="0"/>
          <w:numId w:val="25"/>
        </w:numPr>
        <w:spacing w:before="120" w:after="120"/>
        <w:ind w:hanging="357"/>
        <w:rPr>
          <w:sz w:val="23"/>
          <w:szCs w:val="23"/>
        </w:rPr>
      </w:pPr>
      <w:r w:rsidRPr="00D113F0">
        <w:rPr>
          <w:sz w:val="23"/>
          <w:szCs w:val="23"/>
        </w:rPr>
        <w:t>Premier</w:t>
      </w:r>
      <w:r w:rsidR="00D113F0" w:rsidRPr="00D113F0">
        <w:rPr>
          <w:sz w:val="23"/>
          <w:szCs w:val="23"/>
        </w:rPr>
        <w:t xml:space="preserve"> draft du rapport</w:t>
      </w:r>
      <w:r w:rsidR="00546C52">
        <w:rPr>
          <w:sz w:val="23"/>
          <w:szCs w:val="23"/>
        </w:rPr>
        <w:t> ;</w:t>
      </w:r>
    </w:p>
    <w:p w14:paraId="3F86A717" w14:textId="459507EC" w:rsidR="00D113F0" w:rsidRDefault="00DF759B" w:rsidP="00546C52">
      <w:pPr>
        <w:pStyle w:val="Default"/>
        <w:numPr>
          <w:ilvl w:val="0"/>
          <w:numId w:val="25"/>
        </w:numPr>
        <w:spacing w:before="120" w:after="120"/>
        <w:ind w:hanging="357"/>
        <w:rPr>
          <w:sz w:val="23"/>
          <w:szCs w:val="23"/>
        </w:rPr>
      </w:pPr>
      <w:r w:rsidRPr="00D113F0">
        <w:rPr>
          <w:sz w:val="23"/>
          <w:szCs w:val="23"/>
        </w:rPr>
        <w:t>Présentation</w:t>
      </w:r>
      <w:r w:rsidR="00D113F0" w:rsidRPr="00D113F0">
        <w:rPr>
          <w:sz w:val="23"/>
          <w:szCs w:val="23"/>
        </w:rPr>
        <w:t xml:space="preserve"> </w:t>
      </w:r>
      <w:r w:rsidR="00476E90" w:rsidRPr="00476E90">
        <w:rPr>
          <w:sz w:val="23"/>
          <w:szCs w:val="23"/>
        </w:rPr>
        <w:t>et validation</w:t>
      </w:r>
      <w:r w:rsidR="00476E90">
        <w:rPr>
          <w:sz w:val="23"/>
          <w:szCs w:val="23"/>
        </w:rPr>
        <w:t xml:space="preserve"> </w:t>
      </w:r>
      <w:r w:rsidR="00D113F0" w:rsidRPr="00D113F0">
        <w:rPr>
          <w:sz w:val="23"/>
          <w:szCs w:val="23"/>
        </w:rPr>
        <w:t xml:space="preserve">des résultats </w:t>
      </w:r>
      <w:r>
        <w:rPr>
          <w:sz w:val="23"/>
          <w:szCs w:val="23"/>
        </w:rPr>
        <w:t>(</w:t>
      </w:r>
      <w:r w:rsidR="00D113F0" w:rsidRPr="00D113F0">
        <w:rPr>
          <w:sz w:val="23"/>
          <w:szCs w:val="23"/>
        </w:rPr>
        <w:t>atelier</w:t>
      </w:r>
      <w:r>
        <w:rPr>
          <w:sz w:val="23"/>
          <w:szCs w:val="23"/>
        </w:rPr>
        <w:t>)</w:t>
      </w:r>
      <w:r w:rsidR="00546C52">
        <w:rPr>
          <w:sz w:val="23"/>
          <w:szCs w:val="23"/>
        </w:rPr>
        <w:t> ;</w:t>
      </w:r>
    </w:p>
    <w:p w14:paraId="161B91E5" w14:textId="5051AD6A" w:rsidR="00BC3CE0" w:rsidRPr="000110B7" w:rsidRDefault="00DF759B" w:rsidP="000110B7">
      <w:pPr>
        <w:pStyle w:val="Default"/>
        <w:numPr>
          <w:ilvl w:val="0"/>
          <w:numId w:val="25"/>
        </w:numPr>
        <w:spacing w:before="120" w:after="120"/>
        <w:ind w:hanging="357"/>
        <w:rPr>
          <w:sz w:val="23"/>
          <w:szCs w:val="23"/>
        </w:rPr>
      </w:pPr>
      <w:r w:rsidRPr="00BC3CE0">
        <w:rPr>
          <w:sz w:val="23"/>
          <w:szCs w:val="23"/>
        </w:rPr>
        <w:t>Soumission</w:t>
      </w:r>
      <w:r w:rsidR="00BC3CE0" w:rsidRPr="00BC3CE0">
        <w:rPr>
          <w:sz w:val="23"/>
          <w:szCs w:val="23"/>
        </w:rPr>
        <w:t xml:space="preserve"> du rapport final</w:t>
      </w:r>
      <w:r>
        <w:rPr>
          <w:sz w:val="23"/>
          <w:szCs w:val="23"/>
        </w:rPr>
        <w:t>.</w:t>
      </w:r>
    </w:p>
    <w:p w14:paraId="6B32BDB2" w14:textId="77777777" w:rsidR="00D113F0" w:rsidRDefault="00D113F0" w:rsidP="00D113F0">
      <w:pPr>
        <w:pStyle w:val="Default"/>
        <w:ind w:left="720"/>
        <w:rPr>
          <w:sz w:val="23"/>
          <w:szCs w:val="23"/>
        </w:rPr>
      </w:pPr>
    </w:p>
    <w:tbl>
      <w:tblPr>
        <w:tblStyle w:val="TableGrid"/>
        <w:tblW w:w="0" w:type="auto"/>
        <w:tblInd w:w="360" w:type="dxa"/>
        <w:tblLook w:val="04A0" w:firstRow="1" w:lastRow="0" w:firstColumn="1" w:lastColumn="0" w:noHBand="0" w:noVBand="1"/>
      </w:tblPr>
      <w:tblGrid>
        <w:gridCol w:w="5151"/>
        <w:gridCol w:w="3551"/>
      </w:tblGrid>
      <w:tr w:rsidR="005538E3" w14:paraId="250686F2" w14:textId="77777777" w:rsidTr="00A56AB6">
        <w:tc>
          <w:tcPr>
            <w:tcW w:w="5277" w:type="dxa"/>
            <w:shd w:val="clear" w:color="auto" w:fill="EEECE1" w:themeFill="background2"/>
          </w:tcPr>
          <w:p w14:paraId="2B7CC7B5" w14:textId="339DBB59" w:rsidR="005538E3" w:rsidRPr="00A56AB6" w:rsidRDefault="00A56AB6" w:rsidP="00A56AB6">
            <w:pPr>
              <w:pStyle w:val="Default"/>
              <w:jc w:val="center"/>
              <w:rPr>
                <w:b/>
                <w:bCs/>
                <w:sz w:val="23"/>
                <w:szCs w:val="23"/>
              </w:rPr>
            </w:pPr>
            <w:r w:rsidRPr="00A56AB6">
              <w:rPr>
                <w:b/>
                <w:bCs/>
                <w:sz w:val="23"/>
                <w:szCs w:val="23"/>
              </w:rPr>
              <w:t>Livrables</w:t>
            </w:r>
          </w:p>
        </w:tc>
        <w:tc>
          <w:tcPr>
            <w:tcW w:w="3651" w:type="dxa"/>
            <w:shd w:val="clear" w:color="auto" w:fill="EEECE1" w:themeFill="background2"/>
          </w:tcPr>
          <w:p w14:paraId="6D06480A" w14:textId="40724503" w:rsidR="005538E3" w:rsidRPr="00A56AB6" w:rsidRDefault="00A56AB6" w:rsidP="00A56AB6">
            <w:pPr>
              <w:pStyle w:val="Default"/>
              <w:jc w:val="center"/>
              <w:rPr>
                <w:b/>
                <w:bCs/>
                <w:sz w:val="23"/>
                <w:szCs w:val="23"/>
              </w:rPr>
            </w:pPr>
            <w:r w:rsidRPr="00A56AB6">
              <w:rPr>
                <w:b/>
                <w:bCs/>
                <w:sz w:val="23"/>
                <w:szCs w:val="23"/>
              </w:rPr>
              <w:t>Durée</w:t>
            </w:r>
          </w:p>
        </w:tc>
      </w:tr>
      <w:tr w:rsidR="005538E3" w14:paraId="77F229C3" w14:textId="77777777" w:rsidTr="00140C62">
        <w:tc>
          <w:tcPr>
            <w:tcW w:w="5277" w:type="dxa"/>
          </w:tcPr>
          <w:p w14:paraId="0673A731" w14:textId="53F6F540" w:rsidR="005538E3" w:rsidRDefault="00AF1A2C" w:rsidP="00DA706E">
            <w:pPr>
              <w:pStyle w:val="Default"/>
              <w:rPr>
                <w:sz w:val="23"/>
                <w:szCs w:val="23"/>
              </w:rPr>
            </w:pPr>
            <w:r w:rsidRPr="00355F67">
              <w:rPr>
                <w:sz w:val="23"/>
                <w:szCs w:val="23"/>
                <w:u w:val="single"/>
              </w:rPr>
              <w:t>L</w:t>
            </w:r>
            <w:r w:rsidR="0046260B" w:rsidRPr="00355F67">
              <w:rPr>
                <w:sz w:val="23"/>
                <w:szCs w:val="23"/>
                <w:u w:val="single"/>
              </w:rPr>
              <w:t xml:space="preserve">a </w:t>
            </w:r>
            <w:r w:rsidR="0046260B">
              <w:rPr>
                <w:sz w:val="23"/>
                <w:szCs w:val="23"/>
              </w:rPr>
              <w:t xml:space="preserve">note </w:t>
            </w:r>
            <w:r w:rsidR="00DA706E">
              <w:rPr>
                <w:sz w:val="23"/>
                <w:szCs w:val="23"/>
              </w:rPr>
              <w:t>méthodologique</w:t>
            </w:r>
          </w:p>
        </w:tc>
        <w:tc>
          <w:tcPr>
            <w:tcW w:w="3651" w:type="dxa"/>
            <w:vAlign w:val="center"/>
          </w:tcPr>
          <w:p w14:paraId="1DE1BBE6" w14:textId="6DA02767" w:rsidR="005538E3" w:rsidRDefault="0046260B" w:rsidP="00140C62">
            <w:pPr>
              <w:pStyle w:val="Default"/>
              <w:jc w:val="center"/>
              <w:rPr>
                <w:sz w:val="23"/>
                <w:szCs w:val="23"/>
              </w:rPr>
            </w:pPr>
            <w:r>
              <w:rPr>
                <w:sz w:val="23"/>
                <w:szCs w:val="23"/>
              </w:rPr>
              <w:t>1</w:t>
            </w:r>
            <w:r w:rsidR="00FD74C7">
              <w:rPr>
                <w:sz w:val="23"/>
                <w:szCs w:val="23"/>
              </w:rPr>
              <w:t xml:space="preserve"> </w:t>
            </w:r>
            <w:r>
              <w:rPr>
                <w:sz w:val="23"/>
                <w:szCs w:val="23"/>
              </w:rPr>
              <w:t>j</w:t>
            </w:r>
            <w:r w:rsidR="00FD74C7">
              <w:rPr>
                <w:sz w:val="23"/>
                <w:szCs w:val="23"/>
              </w:rPr>
              <w:t>our</w:t>
            </w:r>
          </w:p>
        </w:tc>
      </w:tr>
      <w:tr w:rsidR="005538E3" w14:paraId="5B6FC856" w14:textId="77777777" w:rsidTr="00140C62">
        <w:tc>
          <w:tcPr>
            <w:tcW w:w="5277" w:type="dxa"/>
          </w:tcPr>
          <w:p w14:paraId="20391B6C" w14:textId="00FF7C3B" w:rsidR="005538E3" w:rsidRDefault="00FD74C7" w:rsidP="00CF5623">
            <w:pPr>
              <w:pStyle w:val="Default"/>
              <w:rPr>
                <w:sz w:val="23"/>
                <w:szCs w:val="23"/>
              </w:rPr>
            </w:pPr>
            <w:r>
              <w:rPr>
                <w:sz w:val="23"/>
                <w:szCs w:val="23"/>
              </w:rPr>
              <w:t xml:space="preserve">Rapport du Benchmark </w:t>
            </w:r>
          </w:p>
        </w:tc>
        <w:tc>
          <w:tcPr>
            <w:tcW w:w="3651" w:type="dxa"/>
            <w:vAlign w:val="center"/>
          </w:tcPr>
          <w:p w14:paraId="49DDC232" w14:textId="05244922" w:rsidR="005538E3" w:rsidRDefault="000110B7" w:rsidP="00140C62">
            <w:pPr>
              <w:pStyle w:val="Default"/>
              <w:jc w:val="center"/>
              <w:rPr>
                <w:sz w:val="23"/>
                <w:szCs w:val="23"/>
              </w:rPr>
            </w:pPr>
            <w:r>
              <w:rPr>
                <w:sz w:val="23"/>
                <w:szCs w:val="23"/>
              </w:rPr>
              <w:t xml:space="preserve">5 </w:t>
            </w:r>
            <w:r w:rsidR="00B83D1A">
              <w:rPr>
                <w:sz w:val="23"/>
                <w:szCs w:val="23"/>
              </w:rPr>
              <w:t>jours</w:t>
            </w:r>
          </w:p>
        </w:tc>
      </w:tr>
      <w:tr w:rsidR="005538E3" w14:paraId="74CBB376" w14:textId="77777777" w:rsidTr="00140C62">
        <w:tc>
          <w:tcPr>
            <w:tcW w:w="5277" w:type="dxa"/>
          </w:tcPr>
          <w:p w14:paraId="58301991" w14:textId="77777777" w:rsidR="00A56AB6" w:rsidRDefault="00A56AB6" w:rsidP="00A56AB6">
            <w:pPr>
              <w:pStyle w:val="Default"/>
              <w:ind w:left="502"/>
              <w:rPr>
                <w:sz w:val="23"/>
                <w:szCs w:val="23"/>
              </w:rPr>
            </w:pPr>
          </w:p>
          <w:p w14:paraId="5DB37A06" w14:textId="7ACE5216" w:rsidR="00995930" w:rsidRDefault="00B83D1A" w:rsidP="0059614E">
            <w:pPr>
              <w:pStyle w:val="Default"/>
              <w:numPr>
                <w:ilvl w:val="0"/>
                <w:numId w:val="24"/>
              </w:numPr>
              <w:ind w:left="349" w:hanging="207"/>
              <w:rPr>
                <w:sz w:val="23"/>
                <w:szCs w:val="23"/>
              </w:rPr>
            </w:pPr>
            <w:r>
              <w:rPr>
                <w:sz w:val="23"/>
                <w:szCs w:val="23"/>
              </w:rPr>
              <w:t>Enquête d’évaluation</w:t>
            </w:r>
          </w:p>
          <w:p w14:paraId="175A3406" w14:textId="77777777" w:rsidR="00471AEA" w:rsidRDefault="00471AEA" w:rsidP="0059614E">
            <w:pPr>
              <w:pStyle w:val="Default"/>
              <w:numPr>
                <w:ilvl w:val="0"/>
                <w:numId w:val="24"/>
              </w:numPr>
              <w:ind w:left="349" w:hanging="207"/>
              <w:rPr>
                <w:sz w:val="23"/>
                <w:szCs w:val="23"/>
              </w:rPr>
            </w:pPr>
            <w:r>
              <w:rPr>
                <w:sz w:val="23"/>
                <w:szCs w:val="23"/>
              </w:rPr>
              <w:t>Premier Draft</w:t>
            </w:r>
          </w:p>
          <w:p w14:paraId="6E29B8A0" w14:textId="0BE1F617" w:rsidR="00E22D1B" w:rsidRDefault="00B67905" w:rsidP="0059614E">
            <w:pPr>
              <w:pStyle w:val="Default"/>
              <w:numPr>
                <w:ilvl w:val="0"/>
                <w:numId w:val="24"/>
              </w:numPr>
              <w:ind w:left="349" w:hanging="207"/>
              <w:rPr>
                <w:sz w:val="23"/>
                <w:szCs w:val="23"/>
              </w:rPr>
            </w:pPr>
            <w:r>
              <w:rPr>
                <w:sz w:val="23"/>
                <w:szCs w:val="23"/>
              </w:rPr>
              <w:lastRenderedPageBreak/>
              <w:t>Présentation</w:t>
            </w:r>
            <w:r w:rsidR="00471AEA">
              <w:rPr>
                <w:sz w:val="23"/>
                <w:szCs w:val="23"/>
              </w:rPr>
              <w:t xml:space="preserve"> et validation des résultats (atelier</w:t>
            </w:r>
            <w:r w:rsidR="00E22D1B">
              <w:rPr>
                <w:sz w:val="23"/>
                <w:szCs w:val="23"/>
              </w:rPr>
              <w:t>)</w:t>
            </w:r>
          </w:p>
          <w:p w14:paraId="5B2600CE" w14:textId="6C398B92" w:rsidR="005538E3" w:rsidRDefault="00E22D1B" w:rsidP="0059614E">
            <w:pPr>
              <w:pStyle w:val="Default"/>
              <w:numPr>
                <w:ilvl w:val="0"/>
                <w:numId w:val="24"/>
              </w:numPr>
              <w:ind w:left="349" w:hanging="207"/>
              <w:rPr>
                <w:sz w:val="23"/>
                <w:szCs w:val="23"/>
              </w:rPr>
            </w:pPr>
            <w:r>
              <w:rPr>
                <w:sz w:val="23"/>
                <w:szCs w:val="23"/>
              </w:rPr>
              <w:t>Soumettre</w:t>
            </w:r>
            <w:r w:rsidR="00995930">
              <w:rPr>
                <w:sz w:val="23"/>
                <w:szCs w:val="23"/>
              </w:rPr>
              <w:t xml:space="preserve"> </w:t>
            </w:r>
            <w:r w:rsidR="00B67905">
              <w:rPr>
                <w:sz w:val="23"/>
                <w:szCs w:val="23"/>
              </w:rPr>
              <w:t>le rapport final</w:t>
            </w:r>
            <w:r>
              <w:rPr>
                <w:sz w:val="23"/>
                <w:szCs w:val="23"/>
              </w:rPr>
              <w:t xml:space="preserve"> de l’évaluation</w:t>
            </w:r>
          </w:p>
          <w:p w14:paraId="6A6572B7" w14:textId="0A5F5052" w:rsidR="00995930" w:rsidRDefault="00995930" w:rsidP="00CF5623">
            <w:pPr>
              <w:pStyle w:val="Default"/>
              <w:rPr>
                <w:sz w:val="23"/>
                <w:szCs w:val="23"/>
              </w:rPr>
            </w:pPr>
          </w:p>
        </w:tc>
        <w:tc>
          <w:tcPr>
            <w:tcW w:w="3651" w:type="dxa"/>
            <w:vAlign w:val="center"/>
          </w:tcPr>
          <w:p w14:paraId="50EED0C3" w14:textId="3B8CC38E" w:rsidR="005538E3" w:rsidRDefault="00140C62" w:rsidP="000110B7">
            <w:pPr>
              <w:pStyle w:val="Default"/>
              <w:jc w:val="center"/>
              <w:rPr>
                <w:sz w:val="23"/>
                <w:szCs w:val="23"/>
              </w:rPr>
            </w:pPr>
            <w:r>
              <w:rPr>
                <w:sz w:val="23"/>
                <w:szCs w:val="23"/>
              </w:rPr>
              <w:lastRenderedPageBreak/>
              <w:t>2</w:t>
            </w:r>
            <w:r w:rsidR="000110B7">
              <w:rPr>
                <w:sz w:val="23"/>
                <w:szCs w:val="23"/>
              </w:rPr>
              <w:t>2</w:t>
            </w:r>
            <w:r>
              <w:rPr>
                <w:sz w:val="23"/>
                <w:szCs w:val="23"/>
              </w:rPr>
              <w:t xml:space="preserve"> jours</w:t>
            </w:r>
          </w:p>
        </w:tc>
      </w:tr>
    </w:tbl>
    <w:p w14:paraId="0A8BEA3A" w14:textId="1BEDABF9" w:rsidR="00B814C7" w:rsidRDefault="00BC268E" w:rsidP="00BC268E">
      <w:pPr>
        <w:pStyle w:val="Default"/>
        <w:numPr>
          <w:ilvl w:val="0"/>
          <w:numId w:val="7"/>
        </w:numPr>
        <w:rPr>
          <w:b/>
          <w:bCs/>
          <w:sz w:val="23"/>
          <w:szCs w:val="23"/>
        </w:rPr>
      </w:pPr>
      <w:r w:rsidRPr="00BC268E">
        <w:rPr>
          <w:b/>
          <w:bCs/>
          <w:sz w:val="23"/>
          <w:szCs w:val="23"/>
        </w:rPr>
        <w:t xml:space="preserve">Le document doit être rédigé en langue </w:t>
      </w:r>
      <w:r w:rsidR="001828B1">
        <w:rPr>
          <w:b/>
          <w:bCs/>
          <w:sz w:val="23"/>
          <w:szCs w:val="23"/>
        </w:rPr>
        <w:t>Arabe et f</w:t>
      </w:r>
      <w:r w:rsidRPr="00BC268E">
        <w:rPr>
          <w:b/>
          <w:bCs/>
          <w:sz w:val="23"/>
          <w:szCs w:val="23"/>
        </w:rPr>
        <w:t>rançaise et livré sous format papier et numérique.</w:t>
      </w:r>
    </w:p>
    <w:p w14:paraId="48DA54D7" w14:textId="77777777" w:rsidR="00BC268E" w:rsidRDefault="00BC268E" w:rsidP="00546C52">
      <w:pPr>
        <w:pStyle w:val="Default"/>
        <w:rPr>
          <w:b/>
          <w:bCs/>
          <w:sz w:val="23"/>
          <w:szCs w:val="23"/>
        </w:rPr>
      </w:pPr>
    </w:p>
    <w:p w14:paraId="7BAF43F1" w14:textId="77777777" w:rsidR="003E3ABF" w:rsidRDefault="003E3ABF" w:rsidP="00546C52">
      <w:pPr>
        <w:pStyle w:val="Default"/>
        <w:rPr>
          <w:b/>
          <w:bCs/>
          <w:sz w:val="23"/>
          <w:szCs w:val="23"/>
        </w:rPr>
      </w:pPr>
    </w:p>
    <w:p w14:paraId="7AF59FFB" w14:textId="77777777" w:rsidR="00BC268E" w:rsidRDefault="00BC268E" w:rsidP="00BC268E">
      <w:pPr>
        <w:pStyle w:val="Default"/>
        <w:rPr>
          <w:b/>
          <w:bCs/>
          <w:color w:val="auto"/>
          <w:sz w:val="26"/>
          <w:szCs w:val="26"/>
        </w:rPr>
      </w:pPr>
      <w:r w:rsidRPr="00BC268E">
        <w:rPr>
          <w:b/>
          <w:bCs/>
          <w:color w:val="auto"/>
          <w:sz w:val="26"/>
          <w:szCs w:val="26"/>
        </w:rPr>
        <w:t>8- Calendrier et activités</w:t>
      </w:r>
    </w:p>
    <w:p w14:paraId="02C45F3C" w14:textId="5E5CB9C4" w:rsidR="00BC268E" w:rsidRPr="003D3D64" w:rsidRDefault="00BC268E" w:rsidP="003D3D64">
      <w:pPr>
        <w:pStyle w:val="Default"/>
        <w:rPr>
          <w:color w:val="auto"/>
          <w:sz w:val="16"/>
          <w:szCs w:val="16"/>
        </w:rPr>
      </w:pPr>
      <w:r>
        <w:rPr>
          <w:color w:val="auto"/>
          <w:sz w:val="16"/>
          <w:szCs w:val="16"/>
        </w:rPr>
        <w:t xml:space="preserve">……………………………..……….………………………………………………………………………………………………................................................ </w:t>
      </w:r>
    </w:p>
    <w:p w14:paraId="4286347F" w14:textId="77777777" w:rsidR="00561481" w:rsidRDefault="00561481" w:rsidP="00BC268E">
      <w:pPr>
        <w:pStyle w:val="Default"/>
        <w:rPr>
          <w:b/>
          <w:bCs/>
          <w:color w:val="auto"/>
          <w:sz w:val="26"/>
          <w:szCs w:val="26"/>
        </w:rPr>
      </w:pPr>
    </w:p>
    <w:p w14:paraId="3198D2B8" w14:textId="77777777" w:rsidR="00BC268E" w:rsidRDefault="00BC268E" w:rsidP="00546C52">
      <w:pPr>
        <w:pStyle w:val="Default"/>
        <w:numPr>
          <w:ilvl w:val="0"/>
          <w:numId w:val="26"/>
        </w:numPr>
        <w:rPr>
          <w:color w:val="auto"/>
          <w:sz w:val="26"/>
          <w:szCs w:val="26"/>
        </w:rPr>
      </w:pPr>
      <w:r>
        <w:rPr>
          <w:b/>
          <w:bCs/>
          <w:color w:val="auto"/>
          <w:sz w:val="26"/>
          <w:szCs w:val="26"/>
        </w:rPr>
        <w:t>Lieu de consultation</w:t>
      </w:r>
      <w:r w:rsidR="00CA2667">
        <w:rPr>
          <w:b/>
          <w:bCs/>
          <w:color w:val="auto"/>
          <w:sz w:val="26"/>
          <w:szCs w:val="26"/>
        </w:rPr>
        <w:t> :</w:t>
      </w:r>
      <w:r w:rsidR="00CA2667" w:rsidRPr="00C561DC">
        <w:rPr>
          <w:b/>
          <w:bCs/>
          <w:color w:val="FF0000"/>
          <w:sz w:val="26"/>
          <w:szCs w:val="26"/>
        </w:rPr>
        <w:t xml:space="preserve"> </w:t>
      </w:r>
      <w:r w:rsidR="007A099B">
        <w:rPr>
          <w:b/>
          <w:bCs/>
          <w:color w:val="FF0000"/>
          <w:sz w:val="26"/>
          <w:szCs w:val="26"/>
        </w:rPr>
        <w:t xml:space="preserve">   </w:t>
      </w:r>
      <w:r w:rsidR="007A099B" w:rsidRPr="007A099B">
        <w:rPr>
          <w:b/>
          <w:bCs/>
          <w:color w:val="auto"/>
          <w:sz w:val="26"/>
          <w:szCs w:val="26"/>
        </w:rPr>
        <w:t>Rabat</w:t>
      </w:r>
      <w:r w:rsidR="007A099B">
        <w:rPr>
          <w:b/>
          <w:bCs/>
          <w:color w:val="FF0000"/>
          <w:sz w:val="26"/>
          <w:szCs w:val="26"/>
        </w:rPr>
        <w:t xml:space="preserve"> </w:t>
      </w:r>
    </w:p>
    <w:p w14:paraId="4ED89A82" w14:textId="77777777" w:rsidR="00561481" w:rsidRDefault="00561481" w:rsidP="00BC268E">
      <w:pPr>
        <w:pStyle w:val="Default"/>
        <w:rPr>
          <w:color w:val="auto"/>
          <w:sz w:val="26"/>
          <w:szCs w:val="26"/>
        </w:rPr>
      </w:pPr>
    </w:p>
    <w:p w14:paraId="66AC59DF" w14:textId="1060E149" w:rsidR="00BC268E" w:rsidRDefault="00BC268E" w:rsidP="009609D0">
      <w:pPr>
        <w:pStyle w:val="Default"/>
        <w:numPr>
          <w:ilvl w:val="0"/>
          <w:numId w:val="26"/>
        </w:numPr>
        <w:rPr>
          <w:color w:val="auto"/>
          <w:sz w:val="26"/>
          <w:szCs w:val="26"/>
        </w:rPr>
      </w:pPr>
      <w:r w:rsidRPr="00BC268E">
        <w:rPr>
          <w:b/>
          <w:bCs/>
          <w:color w:val="auto"/>
          <w:sz w:val="26"/>
          <w:szCs w:val="26"/>
        </w:rPr>
        <w:t>Duré</w:t>
      </w:r>
      <w:r w:rsidR="00AC23E6">
        <w:rPr>
          <w:b/>
          <w:bCs/>
          <w:color w:val="auto"/>
          <w:sz w:val="26"/>
          <w:szCs w:val="26"/>
        </w:rPr>
        <w:t>e</w:t>
      </w:r>
      <w:r w:rsidRPr="00BC268E">
        <w:rPr>
          <w:b/>
          <w:bCs/>
          <w:color w:val="auto"/>
          <w:sz w:val="26"/>
          <w:szCs w:val="26"/>
        </w:rPr>
        <w:t xml:space="preserve"> du contrat de la consultation</w:t>
      </w:r>
      <w:r w:rsidR="007A099B">
        <w:rPr>
          <w:b/>
          <w:bCs/>
          <w:color w:val="auto"/>
          <w:sz w:val="26"/>
          <w:szCs w:val="26"/>
        </w:rPr>
        <w:t xml:space="preserve"> :   </w:t>
      </w:r>
      <w:r w:rsidR="009609D0">
        <w:rPr>
          <w:b/>
          <w:bCs/>
          <w:color w:val="auto"/>
          <w:sz w:val="26"/>
          <w:szCs w:val="26"/>
        </w:rPr>
        <w:t xml:space="preserve">28 </w:t>
      </w:r>
      <w:r w:rsidR="007A099B">
        <w:rPr>
          <w:b/>
          <w:bCs/>
          <w:color w:val="auto"/>
          <w:sz w:val="26"/>
          <w:szCs w:val="26"/>
        </w:rPr>
        <w:t>jours</w:t>
      </w:r>
    </w:p>
    <w:p w14:paraId="03581D60" w14:textId="77777777" w:rsidR="00561481" w:rsidRDefault="00561481" w:rsidP="00BC268E">
      <w:pPr>
        <w:pStyle w:val="Default"/>
        <w:rPr>
          <w:b/>
          <w:bCs/>
          <w:color w:val="auto"/>
          <w:sz w:val="26"/>
          <w:szCs w:val="26"/>
        </w:rPr>
      </w:pPr>
    </w:p>
    <w:p w14:paraId="41F21E00" w14:textId="77777777" w:rsidR="003E3ABF" w:rsidRDefault="003E3ABF" w:rsidP="00BC268E">
      <w:pPr>
        <w:pStyle w:val="Default"/>
        <w:rPr>
          <w:b/>
          <w:bCs/>
          <w:color w:val="auto"/>
          <w:sz w:val="26"/>
          <w:szCs w:val="26"/>
        </w:rPr>
      </w:pPr>
    </w:p>
    <w:p w14:paraId="666B9B4D" w14:textId="0DCE647F" w:rsidR="00BC268E" w:rsidRDefault="00BC268E" w:rsidP="00BC268E">
      <w:pPr>
        <w:pStyle w:val="Default"/>
        <w:rPr>
          <w:b/>
          <w:bCs/>
          <w:color w:val="auto"/>
          <w:sz w:val="26"/>
          <w:szCs w:val="26"/>
        </w:rPr>
      </w:pPr>
      <w:r w:rsidRPr="00BC268E">
        <w:rPr>
          <w:b/>
          <w:bCs/>
          <w:color w:val="auto"/>
          <w:sz w:val="26"/>
          <w:szCs w:val="26"/>
        </w:rPr>
        <w:t xml:space="preserve">9- </w:t>
      </w:r>
      <w:r>
        <w:rPr>
          <w:b/>
          <w:bCs/>
          <w:color w:val="auto"/>
          <w:sz w:val="26"/>
          <w:szCs w:val="26"/>
        </w:rPr>
        <w:t>Q</w:t>
      </w:r>
      <w:r w:rsidRPr="00BC268E">
        <w:rPr>
          <w:b/>
          <w:bCs/>
          <w:color w:val="auto"/>
          <w:sz w:val="26"/>
          <w:szCs w:val="26"/>
        </w:rPr>
        <w:t>ualifications du consultant</w:t>
      </w:r>
      <w:r>
        <w:rPr>
          <w:b/>
          <w:bCs/>
          <w:color w:val="auto"/>
          <w:sz w:val="26"/>
          <w:szCs w:val="26"/>
        </w:rPr>
        <w:t xml:space="preserve"> (e)</w:t>
      </w:r>
      <w:r w:rsidRPr="00BC268E">
        <w:rPr>
          <w:b/>
          <w:bCs/>
          <w:color w:val="auto"/>
          <w:sz w:val="26"/>
          <w:szCs w:val="26"/>
        </w:rPr>
        <w:t> :</w:t>
      </w:r>
    </w:p>
    <w:p w14:paraId="4931D85A" w14:textId="77777777" w:rsidR="00AC23E6" w:rsidRDefault="00BC268E" w:rsidP="00AC23E6">
      <w:pPr>
        <w:pStyle w:val="Default"/>
        <w:rPr>
          <w:color w:val="auto"/>
          <w:sz w:val="16"/>
          <w:szCs w:val="16"/>
        </w:rPr>
      </w:pPr>
      <w:r>
        <w:rPr>
          <w:color w:val="auto"/>
          <w:sz w:val="16"/>
          <w:szCs w:val="16"/>
        </w:rPr>
        <w:t>……………………………..……….………………………………………………………………………………………………................................................</w:t>
      </w:r>
    </w:p>
    <w:p w14:paraId="1845C672" w14:textId="77777777" w:rsidR="00561481" w:rsidRDefault="00561481" w:rsidP="00AC23E6">
      <w:pPr>
        <w:pStyle w:val="Default"/>
        <w:rPr>
          <w:color w:val="auto"/>
          <w:sz w:val="16"/>
          <w:szCs w:val="16"/>
        </w:rPr>
      </w:pPr>
    </w:p>
    <w:p w14:paraId="47DABD69" w14:textId="77777777" w:rsidR="00561481" w:rsidRDefault="00561481" w:rsidP="00AC23E6">
      <w:pPr>
        <w:pStyle w:val="Default"/>
        <w:rPr>
          <w:color w:val="auto"/>
          <w:sz w:val="16"/>
          <w:szCs w:val="16"/>
        </w:rPr>
      </w:pPr>
    </w:p>
    <w:p w14:paraId="1B9E7661" w14:textId="1695E40D" w:rsidR="00AC23E6" w:rsidRDefault="00BC268E" w:rsidP="003E3ABF">
      <w:pPr>
        <w:pStyle w:val="Default"/>
        <w:rPr>
          <w:b/>
          <w:bCs/>
          <w:color w:val="auto"/>
          <w:sz w:val="23"/>
          <w:szCs w:val="23"/>
        </w:rPr>
      </w:pPr>
      <w:r w:rsidRPr="00561481">
        <w:rPr>
          <w:b/>
          <w:bCs/>
          <w:color w:val="auto"/>
          <w:sz w:val="23"/>
          <w:szCs w:val="23"/>
        </w:rPr>
        <w:t>Consultant(e) national(e) ayant</w:t>
      </w:r>
      <w:r w:rsidR="00AC23E6" w:rsidRPr="00561481">
        <w:rPr>
          <w:b/>
          <w:bCs/>
          <w:color w:val="auto"/>
          <w:sz w:val="23"/>
          <w:szCs w:val="23"/>
        </w:rPr>
        <w:t> :</w:t>
      </w:r>
    </w:p>
    <w:p w14:paraId="64966DC3" w14:textId="77777777" w:rsidR="00A8287C" w:rsidRPr="003E3ABF" w:rsidRDefault="00A8287C" w:rsidP="003E3ABF">
      <w:pPr>
        <w:pStyle w:val="Default"/>
        <w:rPr>
          <w:b/>
          <w:bCs/>
          <w:color w:val="auto"/>
          <w:sz w:val="16"/>
          <w:szCs w:val="16"/>
        </w:rPr>
      </w:pPr>
    </w:p>
    <w:p w14:paraId="29302FB2" w14:textId="47AB0764" w:rsidR="00BC268E" w:rsidRPr="00D3155E" w:rsidRDefault="00953FAC" w:rsidP="00D3155E">
      <w:pPr>
        <w:pStyle w:val="Default"/>
        <w:numPr>
          <w:ilvl w:val="0"/>
          <w:numId w:val="5"/>
        </w:numPr>
        <w:spacing w:before="120" w:after="120"/>
        <w:ind w:left="357" w:hanging="357"/>
        <w:jc w:val="both"/>
        <w:rPr>
          <w:sz w:val="23"/>
          <w:szCs w:val="23"/>
        </w:rPr>
      </w:pPr>
      <w:r w:rsidRPr="00D3155E">
        <w:rPr>
          <w:sz w:val="23"/>
          <w:szCs w:val="23"/>
        </w:rPr>
        <w:t xml:space="preserve">Formation et </w:t>
      </w:r>
      <w:r w:rsidR="00AC23E6" w:rsidRPr="00D3155E">
        <w:rPr>
          <w:sz w:val="23"/>
          <w:szCs w:val="23"/>
        </w:rPr>
        <w:t xml:space="preserve">expertise </w:t>
      </w:r>
      <w:r w:rsidR="001535CF" w:rsidRPr="00D3155E">
        <w:rPr>
          <w:sz w:val="23"/>
          <w:szCs w:val="23"/>
        </w:rPr>
        <w:t xml:space="preserve">en Sciences juridiques, Sciences </w:t>
      </w:r>
      <w:r w:rsidR="00D3155E" w:rsidRPr="00D3155E">
        <w:rPr>
          <w:sz w:val="23"/>
          <w:szCs w:val="23"/>
        </w:rPr>
        <w:t>politiques, ou en</w:t>
      </w:r>
      <w:r w:rsidR="00EB7681" w:rsidRPr="00D3155E">
        <w:rPr>
          <w:sz w:val="23"/>
          <w:szCs w:val="23"/>
        </w:rPr>
        <w:t xml:space="preserve"> </w:t>
      </w:r>
      <w:r w:rsidR="00AC23E6" w:rsidRPr="00D3155E">
        <w:rPr>
          <w:sz w:val="23"/>
          <w:szCs w:val="23"/>
        </w:rPr>
        <w:t>sa</w:t>
      </w:r>
      <w:r w:rsidR="00EF01F9" w:rsidRPr="00D3155E">
        <w:rPr>
          <w:sz w:val="23"/>
          <w:szCs w:val="23"/>
        </w:rPr>
        <w:t xml:space="preserve">nté publique, notamment en ce </w:t>
      </w:r>
      <w:r w:rsidR="001535CF" w:rsidRPr="00D3155E">
        <w:rPr>
          <w:sz w:val="23"/>
          <w:szCs w:val="23"/>
        </w:rPr>
        <w:t xml:space="preserve">qui </w:t>
      </w:r>
      <w:r w:rsidR="00AC23E6" w:rsidRPr="00D3155E">
        <w:rPr>
          <w:sz w:val="23"/>
          <w:szCs w:val="23"/>
        </w:rPr>
        <w:t xml:space="preserve">concerne les droits des adolescents et des jeunes en matière de santé </w:t>
      </w:r>
      <w:r w:rsidR="00BC268E" w:rsidRPr="00D3155E">
        <w:rPr>
          <w:sz w:val="23"/>
          <w:szCs w:val="23"/>
        </w:rPr>
        <w:t>au Maroc ou dans des pays similaires</w:t>
      </w:r>
      <w:r w:rsidR="00AC23E6" w:rsidRPr="00D3155E">
        <w:rPr>
          <w:sz w:val="23"/>
          <w:szCs w:val="23"/>
        </w:rPr>
        <w:t> ;</w:t>
      </w:r>
    </w:p>
    <w:p w14:paraId="38A28BF1" w14:textId="361E28B2" w:rsidR="00AC23E6" w:rsidRDefault="00AC23E6" w:rsidP="004B53DD">
      <w:pPr>
        <w:pStyle w:val="Default"/>
        <w:numPr>
          <w:ilvl w:val="0"/>
          <w:numId w:val="5"/>
        </w:numPr>
        <w:spacing w:before="120" w:after="120"/>
        <w:ind w:left="357" w:hanging="357"/>
        <w:jc w:val="both"/>
        <w:rPr>
          <w:sz w:val="23"/>
          <w:szCs w:val="23"/>
        </w:rPr>
      </w:pPr>
      <w:r>
        <w:rPr>
          <w:sz w:val="23"/>
          <w:szCs w:val="23"/>
        </w:rPr>
        <w:t>Une compréhension approfondie du contexte socio-culturel et politique du</w:t>
      </w:r>
      <w:r w:rsidR="00367686">
        <w:rPr>
          <w:sz w:val="23"/>
          <w:szCs w:val="23"/>
        </w:rPr>
        <w:t xml:space="preserve"> Maroc</w:t>
      </w:r>
      <w:r w:rsidR="00AF1A2C">
        <w:rPr>
          <w:sz w:val="23"/>
          <w:szCs w:val="23"/>
        </w:rPr>
        <w:t> :</w:t>
      </w:r>
      <w:r w:rsidR="00367686">
        <w:rPr>
          <w:sz w:val="23"/>
          <w:szCs w:val="23"/>
        </w:rPr>
        <w:t xml:space="preserve"> </w:t>
      </w:r>
      <w:r w:rsidR="00AF1A2C" w:rsidRPr="00F72237">
        <w:rPr>
          <w:sz w:val="23"/>
          <w:szCs w:val="23"/>
        </w:rPr>
        <w:t>Connaissance</w:t>
      </w:r>
      <w:r w:rsidRPr="00F72237">
        <w:rPr>
          <w:sz w:val="23"/>
          <w:szCs w:val="23"/>
        </w:rPr>
        <w:t xml:space="preserve"> </w:t>
      </w:r>
      <w:r w:rsidR="00AF1A2C" w:rsidRPr="00F72237">
        <w:rPr>
          <w:sz w:val="23"/>
          <w:szCs w:val="23"/>
        </w:rPr>
        <w:t>des</w:t>
      </w:r>
      <w:r w:rsidRPr="00F72237">
        <w:rPr>
          <w:sz w:val="23"/>
          <w:szCs w:val="23"/>
        </w:rPr>
        <w:t xml:space="preserve"> </w:t>
      </w:r>
      <w:r w:rsidR="00AF1A2C" w:rsidRPr="00F72237">
        <w:rPr>
          <w:sz w:val="23"/>
          <w:szCs w:val="23"/>
        </w:rPr>
        <w:t>concepts relatifs à</w:t>
      </w:r>
      <w:r w:rsidR="00AF1A2C">
        <w:rPr>
          <w:sz w:val="23"/>
          <w:szCs w:val="23"/>
        </w:rPr>
        <w:t xml:space="preserve"> la </w:t>
      </w:r>
      <w:r>
        <w:rPr>
          <w:sz w:val="23"/>
          <w:szCs w:val="23"/>
        </w:rPr>
        <w:t>santé des adolescents et des jeunes</w:t>
      </w:r>
      <w:r w:rsidR="008649BA">
        <w:rPr>
          <w:sz w:val="23"/>
          <w:szCs w:val="23"/>
        </w:rPr>
        <w:t xml:space="preserve"> et défis spécifiques auxquels les jeunes et les adolescents sont confrontés dans le pays</w:t>
      </w:r>
      <w:r>
        <w:rPr>
          <w:sz w:val="23"/>
          <w:szCs w:val="23"/>
        </w:rPr>
        <w:t xml:space="preserve"> ; </w:t>
      </w:r>
    </w:p>
    <w:p w14:paraId="4EDF72F1" w14:textId="753260B1" w:rsidR="00C561DC" w:rsidRDefault="00AC23E6" w:rsidP="004B53DD">
      <w:pPr>
        <w:pStyle w:val="Default"/>
        <w:numPr>
          <w:ilvl w:val="0"/>
          <w:numId w:val="5"/>
        </w:numPr>
        <w:spacing w:before="120" w:after="120"/>
        <w:ind w:left="357" w:hanging="357"/>
        <w:jc w:val="both"/>
        <w:rPr>
          <w:sz w:val="23"/>
          <w:szCs w:val="23"/>
        </w:rPr>
      </w:pPr>
      <w:r>
        <w:rPr>
          <w:sz w:val="23"/>
          <w:szCs w:val="23"/>
        </w:rPr>
        <w:t xml:space="preserve">Une </w:t>
      </w:r>
      <w:r w:rsidR="00C561DC">
        <w:rPr>
          <w:sz w:val="23"/>
          <w:szCs w:val="23"/>
        </w:rPr>
        <w:t>expérience</w:t>
      </w:r>
      <w:r>
        <w:rPr>
          <w:sz w:val="23"/>
          <w:szCs w:val="23"/>
        </w:rPr>
        <w:t xml:space="preserve"> </w:t>
      </w:r>
      <w:r w:rsidR="00EB7681">
        <w:rPr>
          <w:sz w:val="23"/>
          <w:szCs w:val="23"/>
        </w:rPr>
        <w:t xml:space="preserve">de 5 années minimum </w:t>
      </w:r>
      <w:r>
        <w:rPr>
          <w:sz w:val="23"/>
          <w:szCs w:val="23"/>
        </w:rPr>
        <w:t>dans l’analyse des lois existantes et des politiques publiques</w:t>
      </w:r>
      <w:r w:rsidR="00AF1A2C">
        <w:rPr>
          <w:sz w:val="23"/>
          <w:szCs w:val="23"/>
        </w:rPr>
        <w:t> :</w:t>
      </w:r>
      <w:r w:rsidR="00AF1A2C" w:rsidRPr="00F72237">
        <w:rPr>
          <w:sz w:val="23"/>
          <w:szCs w:val="23"/>
        </w:rPr>
        <w:t xml:space="preserve"> de préférences sur des questions</w:t>
      </w:r>
      <w:r w:rsidR="00AF1A2C">
        <w:rPr>
          <w:sz w:val="23"/>
          <w:szCs w:val="23"/>
        </w:rPr>
        <w:t xml:space="preserve"> </w:t>
      </w:r>
      <w:r>
        <w:rPr>
          <w:sz w:val="23"/>
          <w:szCs w:val="23"/>
        </w:rPr>
        <w:t>relatives à la santé des adolescents et des jeunes avec la capacité de recommander des révisions et des amélioration</w:t>
      </w:r>
      <w:r w:rsidR="00C561DC">
        <w:rPr>
          <w:sz w:val="23"/>
          <w:szCs w:val="23"/>
        </w:rPr>
        <w:t>s ;</w:t>
      </w:r>
    </w:p>
    <w:p w14:paraId="6D4971F2" w14:textId="6980DF77" w:rsidR="00C561DC" w:rsidRDefault="00C561DC" w:rsidP="004B53DD">
      <w:pPr>
        <w:pStyle w:val="Default"/>
        <w:numPr>
          <w:ilvl w:val="0"/>
          <w:numId w:val="5"/>
        </w:numPr>
        <w:spacing w:before="120" w:after="120"/>
        <w:ind w:left="357" w:hanging="357"/>
        <w:jc w:val="both"/>
        <w:rPr>
          <w:sz w:val="23"/>
          <w:szCs w:val="23"/>
        </w:rPr>
      </w:pPr>
      <w:r>
        <w:rPr>
          <w:sz w:val="23"/>
          <w:szCs w:val="23"/>
        </w:rPr>
        <w:t>Des compétences en recherche et en collecte des données pour évaluer l’efficacité des politiques existantes et proposer des recommandations</w:t>
      </w:r>
      <w:r w:rsidR="008649BA">
        <w:rPr>
          <w:sz w:val="23"/>
          <w:szCs w:val="23"/>
        </w:rPr>
        <w:t xml:space="preserve"> pertinentes</w:t>
      </w:r>
      <w:r>
        <w:rPr>
          <w:sz w:val="23"/>
          <w:szCs w:val="23"/>
        </w:rPr>
        <w:t xml:space="preserve"> </w:t>
      </w:r>
      <w:r w:rsidR="008649BA">
        <w:rPr>
          <w:sz w:val="23"/>
          <w:szCs w:val="23"/>
        </w:rPr>
        <w:t xml:space="preserve">sur l’amélioration du cadre juridique </w:t>
      </w:r>
      <w:r>
        <w:rPr>
          <w:sz w:val="23"/>
          <w:szCs w:val="23"/>
        </w:rPr>
        <w:t>fondées sur des preuves ;</w:t>
      </w:r>
    </w:p>
    <w:p w14:paraId="35A54E6B" w14:textId="5AE96FD8" w:rsidR="00AC23E6" w:rsidRDefault="00C561DC" w:rsidP="004B53DD">
      <w:pPr>
        <w:pStyle w:val="Default"/>
        <w:numPr>
          <w:ilvl w:val="0"/>
          <w:numId w:val="5"/>
        </w:numPr>
        <w:spacing w:before="120" w:after="120"/>
        <w:ind w:left="357" w:hanging="357"/>
        <w:jc w:val="both"/>
        <w:rPr>
          <w:sz w:val="23"/>
          <w:szCs w:val="23"/>
        </w:rPr>
      </w:pPr>
      <w:r>
        <w:rPr>
          <w:sz w:val="23"/>
          <w:szCs w:val="23"/>
        </w:rPr>
        <w:t>La capacité à consulter et à collaborer avec des parties prenantes clés, y compris les représentants gouvernementaux, les organisations de société civile</w:t>
      </w:r>
      <w:r w:rsidR="00AF1A2C" w:rsidRPr="00B85687">
        <w:rPr>
          <w:sz w:val="23"/>
          <w:szCs w:val="23"/>
        </w:rPr>
        <w:t>, les organisations internationales œuvrant dans le domaine de la santé des jeunes</w:t>
      </w:r>
      <w:r w:rsidR="00F72237">
        <w:rPr>
          <w:sz w:val="23"/>
          <w:szCs w:val="23"/>
        </w:rPr>
        <w:t xml:space="preserve"> </w:t>
      </w:r>
      <w:r>
        <w:rPr>
          <w:sz w:val="23"/>
          <w:szCs w:val="23"/>
        </w:rPr>
        <w:t xml:space="preserve">et les jeunes eux-mêmes ; </w:t>
      </w:r>
    </w:p>
    <w:p w14:paraId="21BE424E" w14:textId="77777777" w:rsidR="00C561DC" w:rsidRDefault="00C561DC" w:rsidP="004B53DD">
      <w:pPr>
        <w:pStyle w:val="Default"/>
        <w:numPr>
          <w:ilvl w:val="0"/>
          <w:numId w:val="5"/>
        </w:numPr>
        <w:spacing w:before="120" w:after="120"/>
        <w:ind w:left="357" w:hanging="357"/>
        <w:jc w:val="both"/>
        <w:rPr>
          <w:sz w:val="23"/>
          <w:szCs w:val="23"/>
        </w:rPr>
      </w:pPr>
      <w:r>
        <w:rPr>
          <w:sz w:val="23"/>
          <w:szCs w:val="23"/>
        </w:rPr>
        <w:t xml:space="preserve">Une expérience avérée dans la rédaction de rapports et de </w:t>
      </w:r>
      <w:r w:rsidR="00E000EF">
        <w:rPr>
          <w:sz w:val="23"/>
          <w:szCs w:val="23"/>
        </w:rPr>
        <w:t>recommandations claires</w:t>
      </w:r>
      <w:r>
        <w:rPr>
          <w:sz w:val="23"/>
          <w:szCs w:val="23"/>
        </w:rPr>
        <w:t xml:space="preserve"> et concises à l’intention des décideurs politique.</w:t>
      </w:r>
    </w:p>
    <w:p w14:paraId="450C63C7" w14:textId="77777777" w:rsidR="00561481" w:rsidRDefault="00561481" w:rsidP="007308C3">
      <w:pPr>
        <w:pStyle w:val="Default"/>
        <w:rPr>
          <w:b/>
          <w:bCs/>
          <w:color w:val="auto"/>
          <w:sz w:val="26"/>
          <w:szCs w:val="26"/>
        </w:rPr>
      </w:pPr>
    </w:p>
    <w:p w14:paraId="075CA11D" w14:textId="77777777" w:rsidR="00FF678C" w:rsidRDefault="009E2506" w:rsidP="007308C3">
      <w:pPr>
        <w:pStyle w:val="Default"/>
        <w:rPr>
          <w:b/>
          <w:bCs/>
          <w:color w:val="auto"/>
          <w:sz w:val="26"/>
          <w:szCs w:val="26"/>
        </w:rPr>
      </w:pPr>
      <w:r>
        <w:rPr>
          <w:b/>
          <w:bCs/>
          <w:color w:val="auto"/>
          <w:sz w:val="26"/>
          <w:szCs w:val="26"/>
        </w:rPr>
        <w:t>10</w:t>
      </w:r>
      <w:r w:rsidR="007308C3" w:rsidRPr="007308C3">
        <w:rPr>
          <w:b/>
          <w:bCs/>
          <w:color w:val="auto"/>
          <w:sz w:val="26"/>
          <w:szCs w:val="26"/>
        </w:rPr>
        <w:t>- Dossier de l’offre de service</w:t>
      </w:r>
    </w:p>
    <w:p w14:paraId="079D8485" w14:textId="77777777" w:rsidR="00FF678C" w:rsidRDefault="007308C3" w:rsidP="00FF678C">
      <w:pPr>
        <w:pStyle w:val="Default"/>
        <w:rPr>
          <w:color w:val="auto"/>
          <w:sz w:val="16"/>
          <w:szCs w:val="16"/>
        </w:rPr>
      </w:pPr>
      <w:r w:rsidRPr="007308C3">
        <w:rPr>
          <w:b/>
          <w:bCs/>
          <w:color w:val="auto"/>
          <w:sz w:val="26"/>
          <w:szCs w:val="26"/>
        </w:rPr>
        <w:t xml:space="preserve"> </w:t>
      </w:r>
      <w:r w:rsidR="00FF678C">
        <w:rPr>
          <w:color w:val="auto"/>
          <w:sz w:val="16"/>
          <w:szCs w:val="16"/>
        </w:rPr>
        <w:t>……………………………..……….………………………………………………………………………………………………................................................</w:t>
      </w:r>
    </w:p>
    <w:p w14:paraId="40F19186" w14:textId="77777777" w:rsidR="00561481" w:rsidRDefault="00561481" w:rsidP="00FF678C">
      <w:pPr>
        <w:pStyle w:val="Default"/>
        <w:rPr>
          <w:color w:val="auto"/>
          <w:sz w:val="16"/>
          <w:szCs w:val="16"/>
        </w:rPr>
      </w:pPr>
    </w:p>
    <w:p w14:paraId="0E6885CB" w14:textId="77777777" w:rsidR="007308C3" w:rsidRDefault="007308C3" w:rsidP="007308C3">
      <w:pPr>
        <w:pStyle w:val="Default"/>
        <w:rPr>
          <w:sz w:val="23"/>
          <w:szCs w:val="23"/>
        </w:rPr>
      </w:pPr>
      <w:r>
        <w:rPr>
          <w:sz w:val="23"/>
          <w:szCs w:val="23"/>
        </w:rPr>
        <w:t xml:space="preserve">Les dossiers de candidature doivent contenir : </w:t>
      </w:r>
    </w:p>
    <w:p w14:paraId="74D9D775" w14:textId="77777777" w:rsidR="004B53DD" w:rsidRDefault="004B53DD" w:rsidP="007308C3">
      <w:pPr>
        <w:pStyle w:val="Default"/>
        <w:rPr>
          <w:sz w:val="23"/>
          <w:szCs w:val="23"/>
        </w:rPr>
      </w:pPr>
    </w:p>
    <w:p w14:paraId="5AE1747E" w14:textId="0F5A8E82" w:rsidR="007308C3" w:rsidRDefault="007308C3" w:rsidP="00606D5F">
      <w:pPr>
        <w:pStyle w:val="Default"/>
        <w:numPr>
          <w:ilvl w:val="0"/>
          <w:numId w:val="5"/>
        </w:numPr>
        <w:spacing w:before="120" w:after="120"/>
        <w:ind w:left="357" w:hanging="357"/>
        <w:jc w:val="both"/>
        <w:rPr>
          <w:sz w:val="23"/>
          <w:szCs w:val="23"/>
        </w:rPr>
      </w:pPr>
      <w:r>
        <w:rPr>
          <w:sz w:val="23"/>
          <w:szCs w:val="23"/>
        </w:rPr>
        <w:t xml:space="preserve">Le CV détaillé, mentionnant les expériences antérieures dans les domaines en relation avec l’objet de cette consultation ; </w:t>
      </w:r>
    </w:p>
    <w:p w14:paraId="163EE503" w14:textId="77777777" w:rsidR="007308C3" w:rsidRDefault="007308C3" w:rsidP="00606D5F">
      <w:pPr>
        <w:pStyle w:val="Default"/>
        <w:numPr>
          <w:ilvl w:val="0"/>
          <w:numId w:val="5"/>
        </w:numPr>
        <w:spacing w:before="120" w:after="120"/>
        <w:ind w:left="357" w:hanging="357"/>
        <w:jc w:val="both"/>
        <w:rPr>
          <w:sz w:val="23"/>
          <w:szCs w:val="23"/>
        </w:rPr>
      </w:pPr>
      <w:r>
        <w:rPr>
          <w:sz w:val="23"/>
          <w:szCs w:val="23"/>
        </w:rPr>
        <w:lastRenderedPageBreak/>
        <w:t xml:space="preserve">Une note méthodologique décrivant de manière synthétique la démarche qui sera suivie pour répondre aux termes de référence de cette consultation ; </w:t>
      </w:r>
    </w:p>
    <w:p w14:paraId="05E45266" w14:textId="77777777" w:rsidR="007308C3" w:rsidRPr="007308C3" w:rsidRDefault="007308C3" w:rsidP="00606D5F">
      <w:pPr>
        <w:pStyle w:val="Default"/>
        <w:numPr>
          <w:ilvl w:val="0"/>
          <w:numId w:val="5"/>
        </w:numPr>
        <w:spacing w:before="120" w:after="120"/>
        <w:ind w:left="357" w:hanging="357"/>
        <w:jc w:val="both"/>
        <w:rPr>
          <w:sz w:val="23"/>
          <w:szCs w:val="23"/>
        </w:rPr>
      </w:pPr>
      <w:r w:rsidRPr="007308C3">
        <w:rPr>
          <w:sz w:val="23"/>
          <w:szCs w:val="23"/>
        </w:rPr>
        <w:t xml:space="preserve"> Le calendrier d’exécution</w:t>
      </w:r>
      <w:r>
        <w:rPr>
          <w:sz w:val="23"/>
          <w:szCs w:val="23"/>
        </w:rPr>
        <w:t> ;</w:t>
      </w:r>
      <w:r w:rsidRPr="007308C3">
        <w:rPr>
          <w:sz w:val="23"/>
          <w:szCs w:val="23"/>
        </w:rPr>
        <w:t xml:space="preserve"> </w:t>
      </w:r>
    </w:p>
    <w:p w14:paraId="6CFD9B70" w14:textId="3830318F" w:rsidR="00561481" w:rsidRPr="004C4FEA" w:rsidRDefault="007308C3" w:rsidP="00606D5F">
      <w:pPr>
        <w:pStyle w:val="Default"/>
        <w:numPr>
          <w:ilvl w:val="0"/>
          <w:numId w:val="5"/>
        </w:numPr>
        <w:spacing w:before="120" w:after="120"/>
        <w:ind w:left="357" w:hanging="357"/>
        <w:jc w:val="both"/>
        <w:rPr>
          <w:sz w:val="23"/>
          <w:szCs w:val="23"/>
        </w:rPr>
      </w:pPr>
      <w:r w:rsidRPr="007308C3">
        <w:rPr>
          <w:sz w:val="23"/>
          <w:szCs w:val="23"/>
        </w:rPr>
        <w:t>L’offre financière</w:t>
      </w:r>
    </w:p>
    <w:p w14:paraId="4D26C781" w14:textId="77777777" w:rsidR="000110B7" w:rsidRDefault="000110B7" w:rsidP="001F11CC">
      <w:pPr>
        <w:pStyle w:val="Default"/>
        <w:rPr>
          <w:b/>
          <w:bCs/>
          <w:color w:val="auto"/>
          <w:sz w:val="26"/>
          <w:szCs w:val="26"/>
        </w:rPr>
      </w:pPr>
    </w:p>
    <w:p w14:paraId="584116B1" w14:textId="7DCD6EF6" w:rsidR="001F11CC" w:rsidRDefault="001F11CC" w:rsidP="001F11CC">
      <w:pPr>
        <w:pStyle w:val="Default"/>
        <w:rPr>
          <w:b/>
          <w:bCs/>
          <w:color w:val="auto"/>
          <w:sz w:val="26"/>
          <w:szCs w:val="26"/>
        </w:rPr>
      </w:pPr>
      <w:r w:rsidRPr="001F11CC">
        <w:rPr>
          <w:b/>
          <w:bCs/>
          <w:color w:val="auto"/>
          <w:sz w:val="26"/>
          <w:szCs w:val="26"/>
        </w:rPr>
        <w:t>1</w:t>
      </w:r>
      <w:r>
        <w:rPr>
          <w:b/>
          <w:bCs/>
          <w:color w:val="auto"/>
          <w:sz w:val="26"/>
          <w:szCs w:val="26"/>
        </w:rPr>
        <w:t>1</w:t>
      </w:r>
      <w:r w:rsidRPr="001F11CC">
        <w:rPr>
          <w:b/>
          <w:bCs/>
          <w:color w:val="auto"/>
          <w:sz w:val="26"/>
          <w:szCs w:val="26"/>
        </w:rPr>
        <w:t xml:space="preserve">- Evaluation des offres : </w:t>
      </w:r>
    </w:p>
    <w:p w14:paraId="124BE483" w14:textId="3D621929" w:rsidR="00561481" w:rsidRDefault="00FF678C" w:rsidP="004C4FEA">
      <w:pPr>
        <w:pStyle w:val="Default"/>
        <w:rPr>
          <w:color w:val="auto"/>
          <w:sz w:val="16"/>
          <w:szCs w:val="16"/>
        </w:rPr>
      </w:pPr>
      <w:r>
        <w:rPr>
          <w:color w:val="auto"/>
          <w:sz w:val="16"/>
          <w:szCs w:val="16"/>
        </w:rPr>
        <w:t>……………………………..……….………………………………………………………………………………………………................................................</w:t>
      </w:r>
    </w:p>
    <w:p w14:paraId="048A39B4" w14:textId="77777777" w:rsidR="00561481" w:rsidRDefault="00561481" w:rsidP="00FF678C">
      <w:pPr>
        <w:pStyle w:val="Default"/>
        <w:rPr>
          <w:color w:val="auto"/>
          <w:sz w:val="16"/>
          <w:szCs w:val="16"/>
        </w:rPr>
      </w:pPr>
    </w:p>
    <w:p w14:paraId="005F2BF4" w14:textId="1B43C7DF" w:rsidR="001F11CC" w:rsidRPr="004C4FEA" w:rsidRDefault="001F11CC" w:rsidP="004C4FEA">
      <w:pPr>
        <w:pStyle w:val="Default"/>
        <w:rPr>
          <w:b/>
          <w:bCs/>
          <w:sz w:val="23"/>
          <w:szCs w:val="23"/>
        </w:rPr>
      </w:pPr>
      <w:r>
        <w:rPr>
          <w:b/>
          <w:bCs/>
          <w:sz w:val="23"/>
          <w:szCs w:val="23"/>
        </w:rPr>
        <w:t xml:space="preserve">L’évaluation des offres se déroulera en 3 étapes et portera sur : </w:t>
      </w:r>
    </w:p>
    <w:p w14:paraId="5E25DDF2" w14:textId="2019C527" w:rsidR="001F11CC" w:rsidRDefault="001F11CC" w:rsidP="004C4FEA">
      <w:pPr>
        <w:pStyle w:val="Default"/>
        <w:numPr>
          <w:ilvl w:val="0"/>
          <w:numId w:val="5"/>
        </w:numPr>
        <w:spacing w:before="120" w:after="120"/>
        <w:ind w:left="357" w:hanging="357"/>
        <w:rPr>
          <w:sz w:val="23"/>
          <w:szCs w:val="23"/>
        </w:rPr>
      </w:pPr>
      <w:r>
        <w:rPr>
          <w:sz w:val="23"/>
          <w:szCs w:val="23"/>
        </w:rPr>
        <w:t>L’évaluation des compétences du consultant(e) (</w:t>
      </w:r>
      <w:r w:rsidR="00CF3711">
        <w:rPr>
          <w:sz w:val="23"/>
          <w:szCs w:val="23"/>
        </w:rPr>
        <w:t>adéquation</w:t>
      </w:r>
      <w:r>
        <w:rPr>
          <w:sz w:val="23"/>
          <w:szCs w:val="23"/>
        </w:rPr>
        <w:t xml:space="preserve"> du CV à l’objet de la consultation) ; </w:t>
      </w:r>
    </w:p>
    <w:p w14:paraId="6DC0707E" w14:textId="17AD3E4A" w:rsidR="001F11CC" w:rsidRPr="001F11CC" w:rsidRDefault="001F11CC" w:rsidP="004C4FEA">
      <w:pPr>
        <w:pStyle w:val="Default"/>
        <w:numPr>
          <w:ilvl w:val="0"/>
          <w:numId w:val="5"/>
        </w:numPr>
        <w:spacing w:before="120" w:after="120"/>
        <w:ind w:left="357" w:hanging="357"/>
        <w:rPr>
          <w:sz w:val="23"/>
          <w:szCs w:val="23"/>
        </w:rPr>
      </w:pPr>
      <w:r w:rsidRPr="001F11CC">
        <w:rPr>
          <w:sz w:val="23"/>
          <w:szCs w:val="23"/>
        </w:rPr>
        <w:t>L’évaluation de l’offre technique (degré de réponse aux TDR</w:t>
      </w:r>
      <w:r w:rsidR="00DC5FBF">
        <w:rPr>
          <w:sz w:val="23"/>
          <w:szCs w:val="23"/>
        </w:rPr>
        <w:t>s</w:t>
      </w:r>
      <w:r w:rsidRPr="001F11CC">
        <w:rPr>
          <w:sz w:val="23"/>
          <w:szCs w:val="23"/>
        </w:rPr>
        <w:t xml:space="preserve">) ; </w:t>
      </w:r>
    </w:p>
    <w:p w14:paraId="58B4121B" w14:textId="7ED0DCB9" w:rsidR="00561481" w:rsidRPr="0061053C" w:rsidRDefault="001F11CC" w:rsidP="0061053C">
      <w:pPr>
        <w:pStyle w:val="Default"/>
        <w:numPr>
          <w:ilvl w:val="0"/>
          <w:numId w:val="5"/>
        </w:numPr>
        <w:spacing w:before="120" w:after="120"/>
        <w:ind w:left="357" w:hanging="357"/>
        <w:rPr>
          <w:sz w:val="23"/>
          <w:szCs w:val="23"/>
        </w:rPr>
      </w:pPr>
      <w:r>
        <w:rPr>
          <w:sz w:val="23"/>
          <w:szCs w:val="23"/>
        </w:rPr>
        <w:t>La comparaison des propositions financières.</w:t>
      </w:r>
    </w:p>
    <w:p w14:paraId="0F2776FE" w14:textId="77777777" w:rsidR="001F11CC" w:rsidRDefault="001F11CC" w:rsidP="001F11CC">
      <w:pPr>
        <w:pStyle w:val="Default"/>
        <w:rPr>
          <w:b/>
          <w:bCs/>
          <w:color w:val="auto"/>
          <w:sz w:val="26"/>
          <w:szCs w:val="26"/>
        </w:rPr>
      </w:pPr>
      <w:r w:rsidRPr="001F11CC">
        <w:rPr>
          <w:b/>
          <w:bCs/>
          <w:color w:val="auto"/>
          <w:sz w:val="26"/>
          <w:szCs w:val="26"/>
        </w:rPr>
        <w:t xml:space="preserve">12- Analyse technique comparative des offres : </w:t>
      </w:r>
    </w:p>
    <w:p w14:paraId="780CB84D" w14:textId="77777777" w:rsidR="00FF678C" w:rsidRDefault="00FF678C" w:rsidP="00FF678C">
      <w:pPr>
        <w:pStyle w:val="Default"/>
        <w:rPr>
          <w:color w:val="auto"/>
          <w:sz w:val="16"/>
          <w:szCs w:val="16"/>
        </w:rPr>
      </w:pPr>
      <w:r>
        <w:rPr>
          <w:color w:val="auto"/>
          <w:sz w:val="16"/>
          <w:szCs w:val="16"/>
        </w:rPr>
        <w:t>……………………………..……….………………………………………………………………………………………………................................................</w:t>
      </w:r>
    </w:p>
    <w:p w14:paraId="0234CDCB" w14:textId="77777777" w:rsidR="00561481" w:rsidRDefault="00561481" w:rsidP="00FF678C">
      <w:pPr>
        <w:pStyle w:val="Default"/>
        <w:rPr>
          <w:color w:val="auto"/>
          <w:sz w:val="16"/>
          <w:szCs w:val="16"/>
        </w:rPr>
      </w:pPr>
    </w:p>
    <w:p w14:paraId="1BDFC5CD" w14:textId="4D63D6A1" w:rsidR="00561481" w:rsidRDefault="001F11CC" w:rsidP="00212747">
      <w:pPr>
        <w:pStyle w:val="Default"/>
        <w:rPr>
          <w:sz w:val="23"/>
          <w:szCs w:val="23"/>
        </w:rPr>
      </w:pPr>
      <w:r>
        <w:rPr>
          <w:sz w:val="23"/>
          <w:szCs w:val="23"/>
        </w:rPr>
        <w:t xml:space="preserve">Pendant cette phase, il sera procédé à la comparaison technique des offres. Une note technique </w:t>
      </w:r>
      <w:r w:rsidRPr="001F11CC">
        <w:rPr>
          <w:b/>
          <w:bCs/>
          <w:sz w:val="23"/>
          <w:szCs w:val="23"/>
        </w:rPr>
        <w:t>T</w:t>
      </w:r>
      <w:r w:rsidRPr="001F11CC">
        <w:rPr>
          <w:sz w:val="23"/>
          <w:szCs w:val="23"/>
        </w:rPr>
        <w:t xml:space="preserve"> </w:t>
      </w:r>
      <w:r>
        <w:rPr>
          <w:sz w:val="23"/>
          <w:szCs w:val="23"/>
        </w:rPr>
        <w:t xml:space="preserve">sur </w:t>
      </w:r>
      <w:r w:rsidRPr="001F11CC">
        <w:rPr>
          <w:b/>
          <w:bCs/>
          <w:sz w:val="23"/>
          <w:szCs w:val="23"/>
        </w:rPr>
        <w:t>100</w:t>
      </w:r>
      <w:r w:rsidRPr="001F11CC">
        <w:rPr>
          <w:sz w:val="23"/>
          <w:szCs w:val="23"/>
        </w:rPr>
        <w:t xml:space="preserve"> </w:t>
      </w:r>
      <w:r>
        <w:rPr>
          <w:sz w:val="23"/>
          <w:szCs w:val="23"/>
        </w:rPr>
        <w:t>sera attribuée à chaque offre, sur la base du barème suivant :</w:t>
      </w:r>
    </w:p>
    <w:tbl>
      <w:tblPr>
        <w:tblStyle w:val="TableGrid"/>
        <w:tblW w:w="10490" w:type="dxa"/>
        <w:tblInd w:w="-601" w:type="dxa"/>
        <w:tblLook w:val="04A0" w:firstRow="1" w:lastRow="0" w:firstColumn="1" w:lastColumn="0" w:noHBand="0" w:noVBand="1"/>
      </w:tblPr>
      <w:tblGrid>
        <w:gridCol w:w="1418"/>
        <w:gridCol w:w="2126"/>
        <w:gridCol w:w="2814"/>
        <w:gridCol w:w="2150"/>
        <w:gridCol w:w="1982"/>
      </w:tblGrid>
      <w:tr w:rsidR="00953FAC" w14:paraId="379DE70D" w14:textId="77777777" w:rsidTr="00212747">
        <w:tc>
          <w:tcPr>
            <w:tcW w:w="1418" w:type="dxa"/>
            <w:vMerge w:val="restart"/>
          </w:tcPr>
          <w:p w14:paraId="72B41226" w14:textId="77777777" w:rsidR="00953FAC" w:rsidRDefault="00953FAC" w:rsidP="001F11CC">
            <w:pPr>
              <w:pStyle w:val="Default"/>
              <w:rPr>
                <w:b/>
                <w:bCs/>
                <w:sz w:val="23"/>
                <w:szCs w:val="23"/>
              </w:rPr>
            </w:pPr>
          </w:p>
          <w:p w14:paraId="0129435B" w14:textId="77777777" w:rsidR="00953FAC" w:rsidRDefault="00953FAC" w:rsidP="001F11CC">
            <w:pPr>
              <w:pStyle w:val="Default"/>
              <w:rPr>
                <w:b/>
                <w:bCs/>
                <w:sz w:val="23"/>
                <w:szCs w:val="23"/>
              </w:rPr>
            </w:pPr>
          </w:p>
          <w:p w14:paraId="27099DCD" w14:textId="77777777" w:rsidR="00953FAC" w:rsidRDefault="00953FAC" w:rsidP="001F11CC">
            <w:pPr>
              <w:pStyle w:val="Default"/>
              <w:rPr>
                <w:b/>
                <w:bCs/>
                <w:sz w:val="23"/>
                <w:szCs w:val="23"/>
              </w:rPr>
            </w:pPr>
          </w:p>
          <w:p w14:paraId="36F78D9A" w14:textId="77777777" w:rsidR="00953FAC" w:rsidRDefault="00953FAC" w:rsidP="001F11CC">
            <w:pPr>
              <w:pStyle w:val="Default"/>
              <w:rPr>
                <w:b/>
                <w:bCs/>
                <w:sz w:val="23"/>
                <w:szCs w:val="23"/>
              </w:rPr>
            </w:pPr>
          </w:p>
          <w:p w14:paraId="520020E7" w14:textId="77777777" w:rsidR="00953FAC" w:rsidRDefault="00953FAC" w:rsidP="001F11CC">
            <w:pPr>
              <w:pStyle w:val="Default"/>
              <w:rPr>
                <w:b/>
                <w:bCs/>
                <w:sz w:val="23"/>
                <w:szCs w:val="23"/>
              </w:rPr>
            </w:pPr>
          </w:p>
          <w:p w14:paraId="69FB18E1" w14:textId="77777777" w:rsidR="00953FAC" w:rsidRDefault="00953FAC" w:rsidP="001F11CC">
            <w:pPr>
              <w:pStyle w:val="Default"/>
              <w:rPr>
                <w:b/>
                <w:bCs/>
                <w:sz w:val="23"/>
                <w:szCs w:val="23"/>
              </w:rPr>
            </w:pPr>
          </w:p>
          <w:p w14:paraId="60F65D35" w14:textId="77777777" w:rsidR="00953FAC" w:rsidRDefault="00953FAC" w:rsidP="001F11CC">
            <w:pPr>
              <w:pStyle w:val="Default"/>
              <w:rPr>
                <w:b/>
                <w:bCs/>
                <w:sz w:val="23"/>
                <w:szCs w:val="23"/>
              </w:rPr>
            </w:pPr>
          </w:p>
          <w:p w14:paraId="6662A28D" w14:textId="77777777" w:rsidR="00953FAC" w:rsidRDefault="00953FAC" w:rsidP="001F11CC">
            <w:pPr>
              <w:pStyle w:val="Default"/>
              <w:rPr>
                <w:b/>
                <w:bCs/>
                <w:sz w:val="23"/>
                <w:szCs w:val="23"/>
              </w:rPr>
            </w:pPr>
          </w:p>
          <w:p w14:paraId="7102F56E" w14:textId="77777777" w:rsidR="00953FAC" w:rsidRDefault="00953FAC" w:rsidP="001F11CC">
            <w:pPr>
              <w:pStyle w:val="Default"/>
              <w:rPr>
                <w:b/>
                <w:bCs/>
                <w:sz w:val="23"/>
                <w:szCs w:val="23"/>
              </w:rPr>
            </w:pPr>
          </w:p>
          <w:p w14:paraId="198E609E" w14:textId="77777777" w:rsidR="00953FAC" w:rsidRDefault="00953FAC" w:rsidP="001F11CC">
            <w:pPr>
              <w:pStyle w:val="Default"/>
              <w:rPr>
                <w:b/>
                <w:bCs/>
                <w:sz w:val="23"/>
                <w:szCs w:val="23"/>
              </w:rPr>
            </w:pPr>
            <w:r>
              <w:rPr>
                <w:b/>
                <w:bCs/>
                <w:sz w:val="23"/>
                <w:szCs w:val="23"/>
              </w:rPr>
              <w:t>Critères</w:t>
            </w:r>
          </w:p>
          <w:p w14:paraId="061D575B" w14:textId="77777777" w:rsidR="00953FAC" w:rsidRDefault="00953FAC" w:rsidP="001F11CC">
            <w:pPr>
              <w:pStyle w:val="Default"/>
              <w:rPr>
                <w:b/>
                <w:bCs/>
                <w:sz w:val="23"/>
                <w:szCs w:val="23"/>
              </w:rPr>
            </w:pPr>
          </w:p>
          <w:p w14:paraId="2EACFC40" w14:textId="77777777" w:rsidR="00953FAC" w:rsidRDefault="00953FAC" w:rsidP="001F11CC">
            <w:pPr>
              <w:pStyle w:val="Default"/>
              <w:rPr>
                <w:b/>
                <w:bCs/>
                <w:sz w:val="23"/>
                <w:szCs w:val="23"/>
              </w:rPr>
            </w:pPr>
          </w:p>
          <w:p w14:paraId="3D55F3F3" w14:textId="77777777" w:rsidR="00953FAC" w:rsidRDefault="00953FAC" w:rsidP="001F11CC">
            <w:pPr>
              <w:pStyle w:val="Default"/>
              <w:rPr>
                <w:b/>
                <w:bCs/>
                <w:sz w:val="23"/>
                <w:szCs w:val="23"/>
              </w:rPr>
            </w:pPr>
          </w:p>
          <w:p w14:paraId="257C7CCF" w14:textId="77777777" w:rsidR="00953FAC" w:rsidRDefault="00953FAC" w:rsidP="001F11CC">
            <w:pPr>
              <w:pStyle w:val="Default"/>
              <w:rPr>
                <w:b/>
                <w:bCs/>
                <w:sz w:val="23"/>
                <w:szCs w:val="23"/>
              </w:rPr>
            </w:pPr>
          </w:p>
          <w:p w14:paraId="33CCC846" w14:textId="77777777" w:rsidR="00953FAC" w:rsidRDefault="00953FAC" w:rsidP="001F11CC">
            <w:pPr>
              <w:pStyle w:val="Default"/>
              <w:rPr>
                <w:b/>
                <w:bCs/>
                <w:sz w:val="23"/>
                <w:szCs w:val="23"/>
              </w:rPr>
            </w:pPr>
          </w:p>
          <w:p w14:paraId="522BEC50" w14:textId="77777777" w:rsidR="00953FAC" w:rsidRDefault="00953FAC" w:rsidP="001F11CC">
            <w:pPr>
              <w:pStyle w:val="Default"/>
              <w:rPr>
                <w:b/>
                <w:bCs/>
                <w:sz w:val="23"/>
                <w:szCs w:val="23"/>
              </w:rPr>
            </w:pPr>
          </w:p>
          <w:p w14:paraId="7A158C74" w14:textId="77777777" w:rsidR="00953FAC" w:rsidRDefault="00953FAC" w:rsidP="001F11CC">
            <w:pPr>
              <w:pStyle w:val="Default"/>
              <w:rPr>
                <w:b/>
                <w:bCs/>
                <w:sz w:val="23"/>
                <w:szCs w:val="23"/>
              </w:rPr>
            </w:pPr>
          </w:p>
          <w:p w14:paraId="27BA44B7" w14:textId="77777777" w:rsidR="00953FAC" w:rsidRDefault="00953FAC" w:rsidP="001F11CC">
            <w:pPr>
              <w:pStyle w:val="Default"/>
              <w:rPr>
                <w:b/>
                <w:bCs/>
                <w:sz w:val="23"/>
                <w:szCs w:val="23"/>
              </w:rPr>
            </w:pPr>
          </w:p>
          <w:p w14:paraId="2FEADCA6" w14:textId="77777777" w:rsidR="00953FAC" w:rsidRDefault="00953FAC" w:rsidP="001F11CC">
            <w:pPr>
              <w:pStyle w:val="Default"/>
              <w:rPr>
                <w:b/>
                <w:bCs/>
                <w:sz w:val="23"/>
                <w:szCs w:val="23"/>
              </w:rPr>
            </w:pPr>
          </w:p>
          <w:p w14:paraId="601FA0AC" w14:textId="77777777" w:rsidR="00953FAC" w:rsidRDefault="00953FAC" w:rsidP="001F11CC">
            <w:pPr>
              <w:pStyle w:val="Default"/>
              <w:rPr>
                <w:b/>
                <w:bCs/>
                <w:sz w:val="23"/>
                <w:szCs w:val="23"/>
              </w:rPr>
            </w:pPr>
          </w:p>
          <w:p w14:paraId="3863D48E" w14:textId="77777777" w:rsidR="00953FAC" w:rsidRDefault="00953FAC" w:rsidP="001F11CC">
            <w:pPr>
              <w:pStyle w:val="Default"/>
              <w:rPr>
                <w:b/>
                <w:bCs/>
                <w:sz w:val="23"/>
                <w:szCs w:val="23"/>
              </w:rPr>
            </w:pPr>
          </w:p>
          <w:p w14:paraId="68DE1EE7" w14:textId="77777777" w:rsidR="00953FAC" w:rsidRDefault="00953FAC" w:rsidP="001F11CC">
            <w:pPr>
              <w:pStyle w:val="Default"/>
              <w:rPr>
                <w:b/>
                <w:bCs/>
                <w:sz w:val="23"/>
                <w:szCs w:val="23"/>
              </w:rPr>
            </w:pPr>
          </w:p>
          <w:p w14:paraId="2C548386" w14:textId="77777777" w:rsidR="00953FAC" w:rsidRDefault="00953FAC" w:rsidP="001F11CC">
            <w:pPr>
              <w:pStyle w:val="Default"/>
              <w:rPr>
                <w:b/>
                <w:bCs/>
                <w:sz w:val="23"/>
                <w:szCs w:val="23"/>
              </w:rPr>
            </w:pPr>
          </w:p>
          <w:p w14:paraId="41466BF8" w14:textId="77777777" w:rsidR="00953FAC" w:rsidRDefault="00953FAC" w:rsidP="001F11CC">
            <w:pPr>
              <w:pStyle w:val="Default"/>
              <w:rPr>
                <w:b/>
                <w:bCs/>
                <w:sz w:val="23"/>
                <w:szCs w:val="23"/>
              </w:rPr>
            </w:pPr>
          </w:p>
          <w:p w14:paraId="45A8DD17" w14:textId="77777777" w:rsidR="00953FAC" w:rsidRDefault="00953FAC" w:rsidP="001F11CC">
            <w:pPr>
              <w:pStyle w:val="Default"/>
              <w:rPr>
                <w:b/>
                <w:bCs/>
                <w:sz w:val="23"/>
                <w:szCs w:val="23"/>
              </w:rPr>
            </w:pPr>
          </w:p>
          <w:p w14:paraId="7A368695" w14:textId="77777777" w:rsidR="00953FAC" w:rsidRDefault="00953FAC" w:rsidP="001F11CC">
            <w:pPr>
              <w:pStyle w:val="Default"/>
              <w:rPr>
                <w:b/>
                <w:bCs/>
                <w:sz w:val="23"/>
                <w:szCs w:val="23"/>
              </w:rPr>
            </w:pPr>
          </w:p>
          <w:p w14:paraId="18D5EA0F" w14:textId="77777777" w:rsidR="00953FAC" w:rsidRDefault="00953FAC" w:rsidP="001F11CC">
            <w:pPr>
              <w:pStyle w:val="Default"/>
              <w:rPr>
                <w:b/>
                <w:bCs/>
                <w:sz w:val="23"/>
                <w:szCs w:val="23"/>
              </w:rPr>
            </w:pPr>
          </w:p>
          <w:p w14:paraId="6180F287" w14:textId="77777777" w:rsidR="00953FAC" w:rsidRDefault="00953FAC" w:rsidP="001F11CC">
            <w:pPr>
              <w:pStyle w:val="Default"/>
              <w:rPr>
                <w:b/>
                <w:bCs/>
                <w:sz w:val="23"/>
                <w:szCs w:val="23"/>
              </w:rPr>
            </w:pPr>
          </w:p>
          <w:p w14:paraId="2AE4FDE9" w14:textId="77777777" w:rsidR="00953FAC" w:rsidRDefault="00953FAC" w:rsidP="001F11CC">
            <w:pPr>
              <w:pStyle w:val="Default"/>
              <w:rPr>
                <w:b/>
                <w:bCs/>
                <w:sz w:val="23"/>
                <w:szCs w:val="23"/>
              </w:rPr>
            </w:pPr>
          </w:p>
          <w:p w14:paraId="2DED9775" w14:textId="77777777" w:rsidR="00953FAC" w:rsidRDefault="00953FAC" w:rsidP="001F11CC">
            <w:pPr>
              <w:pStyle w:val="Default"/>
              <w:rPr>
                <w:b/>
                <w:bCs/>
                <w:sz w:val="23"/>
                <w:szCs w:val="23"/>
              </w:rPr>
            </w:pPr>
          </w:p>
          <w:p w14:paraId="0ED825BE" w14:textId="77777777" w:rsidR="00953FAC" w:rsidRDefault="00953FAC" w:rsidP="001F11CC">
            <w:pPr>
              <w:pStyle w:val="Default"/>
              <w:rPr>
                <w:sz w:val="23"/>
                <w:szCs w:val="23"/>
              </w:rPr>
            </w:pPr>
          </w:p>
        </w:tc>
        <w:tc>
          <w:tcPr>
            <w:tcW w:w="4940" w:type="dxa"/>
            <w:gridSpan w:val="2"/>
            <w:vAlign w:val="center"/>
          </w:tcPr>
          <w:p w14:paraId="6EEA6368" w14:textId="4506F715" w:rsidR="00953FAC" w:rsidRPr="00212747" w:rsidRDefault="00953FAC" w:rsidP="00212747">
            <w:pPr>
              <w:pStyle w:val="Default"/>
              <w:jc w:val="center"/>
              <w:rPr>
                <w:b/>
                <w:bCs/>
                <w:sz w:val="22"/>
                <w:szCs w:val="22"/>
              </w:rPr>
            </w:pPr>
            <w:r w:rsidRPr="0061053C">
              <w:rPr>
                <w:b/>
                <w:bCs/>
                <w:sz w:val="22"/>
                <w:szCs w:val="22"/>
              </w:rPr>
              <w:t>Evaluation du CV</w:t>
            </w:r>
          </w:p>
        </w:tc>
        <w:tc>
          <w:tcPr>
            <w:tcW w:w="2150" w:type="dxa"/>
          </w:tcPr>
          <w:p w14:paraId="2EA3CA62" w14:textId="431179E3" w:rsidR="00953FAC" w:rsidRPr="0061053C" w:rsidRDefault="00953FAC" w:rsidP="00212747">
            <w:pPr>
              <w:pStyle w:val="Default"/>
              <w:rPr>
                <w:sz w:val="22"/>
                <w:szCs w:val="22"/>
              </w:rPr>
            </w:pPr>
            <w:r w:rsidRPr="0061053C">
              <w:rPr>
                <w:b/>
                <w:bCs/>
                <w:sz w:val="22"/>
                <w:szCs w:val="22"/>
              </w:rPr>
              <w:t xml:space="preserve">Evaluation de la note méthodologique </w:t>
            </w:r>
          </w:p>
        </w:tc>
        <w:tc>
          <w:tcPr>
            <w:tcW w:w="1982" w:type="dxa"/>
            <w:vAlign w:val="center"/>
          </w:tcPr>
          <w:p w14:paraId="5C97EBD0" w14:textId="3741C017" w:rsidR="00953FAC" w:rsidRPr="0061053C" w:rsidRDefault="00953FAC" w:rsidP="00212747">
            <w:pPr>
              <w:pStyle w:val="Default"/>
              <w:jc w:val="center"/>
              <w:rPr>
                <w:sz w:val="22"/>
                <w:szCs w:val="22"/>
              </w:rPr>
            </w:pPr>
            <w:r w:rsidRPr="0061053C">
              <w:rPr>
                <w:b/>
                <w:bCs/>
                <w:sz w:val="22"/>
                <w:szCs w:val="22"/>
              </w:rPr>
              <w:t>Total</w:t>
            </w:r>
          </w:p>
          <w:p w14:paraId="4B3E7F13" w14:textId="7072F590" w:rsidR="00953FAC" w:rsidRPr="0061053C" w:rsidRDefault="00953FAC" w:rsidP="00212747">
            <w:pPr>
              <w:pStyle w:val="Default"/>
              <w:jc w:val="center"/>
              <w:rPr>
                <w:sz w:val="22"/>
                <w:szCs w:val="22"/>
              </w:rPr>
            </w:pPr>
            <w:r w:rsidRPr="0061053C">
              <w:rPr>
                <w:b/>
                <w:bCs/>
                <w:sz w:val="22"/>
                <w:szCs w:val="22"/>
              </w:rPr>
              <w:t>(Sur 100)</w:t>
            </w:r>
          </w:p>
        </w:tc>
      </w:tr>
      <w:tr w:rsidR="00953FAC" w14:paraId="1243EAD0" w14:textId="77777777" w:rsidTr="00212747">
        <w:tc>
          <w:tcPr>
            <w:tcW w:w="1418" w:type="dxa"/>
            <w:vMerge/>
          </w:tcPr>
          <w:p w14:paraId="3FB5ADD2" w14:textId="77777777" w:rsidR="00953FAC" w:rsidRDefault="00953FAC" w:rsidP="001F11CC">
            <w:pPr>
              <w:pStyle w:val="Default"/>
              <w:rPr>
                <w:sz w:val="23"/>
                <w:szCs w:val="23"/>
              </w:rPr>
            </w:pPr>
          </w:p>
        </w:tc>
        <w:tc>
          <w:tcPr>
            <w:tcW w:w="2126" w:type="dxa"/>
          </w:tcPr>
          <w:p w14:paraId="37DA31CC" w14:textId="77777777" w:rsidR="00953FAC" w:rsidRDefault="00953FAC" w:rsidP="001F11CC">
            <w:pPr>
              <w:pStyle w:val="Default"/>
              <w:rPr>
                <w:sz w:val="23"/>
                <w:szCs w:val="23"/>
              </w:rPr>
            </w:pPr>
          </w:p>
          <w:p w14:paraId="48B53726" w14:textId="6B7B1E55" w:rsidR="00953FAC" w:rsidRDefault="00953FAC" w:rsidP="00953FAC">
            <w:pPr>
              <w:pStyle w:val="Default"/>
              <w:numPr>
                <w:ilvl w:val="0"/>
                <w:numId w:val="5"/>
              </w:numPr>
              <w:rPr>
                <w:sz w:val="23"/>
                <w:szCs w:val="23"/>
              </w:rPr>
            </w:pPr>
            <w:r>
              <w:rPr>
                <w:sz w:val="23"/>
                <w:szCs w:val="23"/>
              </w:rPr>
              <w:t>Formatio</w:t>
            </w:r>
            <w:r w:rsidR="00B85687">
              <w:rPr>
                <w:sz w:val="23"/>
                <w:szCs w:val="23"/>
              </w:rPr>
              <w:t>n et expertise juridique solide</w:t>
            </w:r>
            <w:r w:rsidR="00112F32">
              <w:rPr>
                <w:sz w:val="23"/>
                <w:szCs w:val="23"/>
              </w:rPr>
              <w:t xml:space="preserve"> : </w:t>
            </w:r>
            <w:r w:rsidR="00112F32" w:rsidRPr="00B85687">
              <w:rPr>
                <w:sz w:val="23"/>
                <w:szCs w:val="23"/>
              </w:rPr>
              <w:t>De préférence</w:t>
            </w:r>
            <w:r w:rsidR="00367686">
              <w:rPr>
                <w:sz w:val="23"/>
                <w:szCs w:val="23"/>
              </w:rPr>
              <w:t xml:space="preserve"> </w:t>
            </w:r>
            <w:r>
              <w:rPr>
                <w:sz w:val="23"/>
                <w:szCs w:val="23"/>
              </w:rPr>
              <w:t>dans le domaine de la santé publique, notamment en ce   concerne les droits des adolescents et des jeunes en matière de santé au Maroc ou dans des pays similaires </w:t>
            </w:r>
          </w:p>
          <w:p w14:paraId="6B11970D" w14:textId="77777777" w:rsidR="00953FAC" w:rsidRDefault="00953FAC" w:rsidP="00953FAC">
            <w:pPr>
              <w:pStyle w:val="Default"/>
              <w:ind w:left="360"/>
              <w:rPr>
                <w:sz w:val="23"/>
                <w:szCs w:val="23"/>
              </w:rPr>
            </w:pPr>
          </w:p>
          <w:p w14:paraId="1CDCBD4B" w14:textId="77777777" w:rsidR="00953FAC" w:rsidRPr="00953FAC" w:rsidRDefault="00953FAC" w:rsidP="00953FAC">
            <w:pPr>
              <w:pStyle w:val="Default"/>
              <w:ind w:left="360"/>
              <w:rPr>
                <w:b/>
                <w:bCs/>
                <w:sz w:val="23"/>
                <w:szCs w:val="23"/>
              </w:rPr>
            </w:pPr>
            <w:r>
              <w:rPr>
                <w:b/>
                <w:bCs/>
                <w:sz w:val="23"/>
                <w:szCs w:val="23"/>
              </w:rPr>
              <w:t xml:space="preserve">   </w:t>
            </w:r>
            <w:r w:rsidRPr="00953FAC">
              <w:rPr>
                <w:b/>
                <w:bCs/>
                <w:sz w:val="23"/>
                <w:szCs w:val="23"/>
              </w:rPr>
              <w:t>(25</w:t>
            </w:r>
            <w:r>
              <w:rPr>
                <w:b/>
                <w:bCs/>
                <w:sz w:val="23"/>
                <w:szCs w:val="23"/>
              </w:rPr>
              <w:t xml:space="preserve"> points)</w:t>
            </w:r>
          </w:p>
          <w:p w14:paraId="5B56AB8E" w14:textId="77777777" w:rsidR="00953FAC" w:rsidRDefault="00953FAC" w:rsidP="001F11CC">
            <w:pPr>
              <w:pStyle w:val="Default"/>
              <w:rPr>
                <w:sz w:val="23"/>
                <w:szCs w:val="23"/>
              </w:rPr>
            </w:pPr>
          </w:p>
        </w:tc>
        <w:tc>
          <w:tcPr>
            <w:tcW w:w="2814" w:type="dxa"/>
          </w:tcPr>
          <w:p w14:paraId="2700411A" w14:textId="77777777" w:rsidR="00953FAC" w:rsidRDefault="00953FAC" w:rsidP="00953FAC">
            <w:pPr>
              <w:pStyle w:val="Default"/>
              <w:ind w:left="360"/>
              <w:rPr>
                <w:sz w:val="23"/>
                <w:szCs w:val="23"/>
              </w:rPr>
            </w:pPr>
          </w:p>
          <w:p w14:paraId="4FCE461B" w14:textId="601521CB" w:rsidR="00953FAC" w:rsidRDefault="00953FAC" w:rsidP="00561481">
            <w:pPr>
              <w:pStyle w:val="Default"/>
              <w:numPr>
                <w:ilvl w:val="0"/>
                <w:numId w:val="5"/>
              </w:numPr>
              <w:rPr>
                <w:sz w:val="23"/>
                <w:szCs w:val="23"/>
              </w:rPr>
            </w:pPr>
            <w:r>
              <w:rPr>
                <w:sz w:val="23"/>
                <w:szCs w:val="23"/>
              </w:rPr>
              <w:t xml:space="preserve">Une compréhension approfondie du contexte socio-culturel et politique du </w:t>
            </w:r>
            <w:r w:rsidR="00367686">
              <w:rPr>
                <w:sz w:val="23"/>
                <w:szCs w:val="23"/>
              </w:rPr>
              <w:t xml:space="preserve">Maroc, en particulier en ce qui </w:t>
            </w:r>
            <w:r>
              <w:rPr>
                <w:sz w:val="23"/>
                <w:szCs w:val="23"/>
              </w:rPr>
              <w:t>concerne les que</w:t>
            </w:r>
            <w:r w:rsidRPr="00B85687">
              <w:rPr>
                <w:sz w:val="23"/>
                <w:szCs w:val="23"/>
              </w:rPr>
              <w:t xml:space="preserve">stions </w:t>
            </w:r>
            <w:r w:rsidR="00112F32" w:rsidRPr="00B85687">
              <w:rPr>
                <w:sz w:val="23"/>
                <w:szCs w:val="23"/>
              </w:rPr>
              <w:t>relatives à la</w:t>
            </w:r>
            <w:r w:rsidRPr="00B85687">
              <w:rPr>
                <w:sz w:val="23"/>
                <w:szCs w:val="23"/>
              </w:rPr>
              <w:t xml:space="preserve"> </w:t>
            </w:r>
            <w:r>
              <w:rPr>
                <w:sz w:val="23"/>
                <w:szCs w:val="23"/>
              </w:rPr>
              <w:t>santé des adolescents et des jeunes</w:t>
            </w:r>
            <w:r w:rsidR="00112F32">
              <w:rPr>
                <w:sz w:val="23"/>
                <w:szCs w:val="23"/>
              </w:rPr>
              <w:t xml:space="preserve"> </w:t>
            </w:r>
            <w:r>
              <w:rPr>
                <w:sz w:val="23"/>
                <w:szCs w:val="23"/>
              </w:rPr>
              <w:t xml:space="preserve">; </w:t>
            </w:r>
          </w:p>
          <w:p w14:paraId="37645479" w14:textId="20961AD5" w:rsidR="00953FAC" w:rsidRDefault="00953FAC" w:rsidP="00953FAC">
            <w:pPr>
              <w:pStyle w:val="Default"/>
              <w:numPr>
                <w:ilvl w:val="0"/>
                <w:numId w:val="5"/>
              </w:numPr>
              <w:rPr>
                <w:sz w:val="23"/>
                <w:szCs w:val="23"/>
              </w:rPr>
            </w:pPr>
            <w:r>
              <w:rPr>
                <w:sz w:val="23"/>
                <w:szCs w:val="23"/>
              </w:rPr>
              <w:t>Une expérience dans l’analyse des lois existantes et des</w:t>
            </w:r>
            <w:r w:rsidR="00B85687">
              <w:rPr>
                <w:sz w:val="23"/>
                <w:szCs w:val="23"/>
              </w:rPr>
              <w:t xml:space="preserve"> politiques publiques relatives, </w:t>
            </w:r>
            <w:r>
              <w:rPr>
                <w:sz w:val="23"/>
                <w:szCs w:val="23"/>
              </w:rPr>
              <w:t>avec la capacité de recommander des révisions et des améliorations ;</w:t>
            </w:r>
          </w:p>
          <w:p w14:paraId="1F09778E" w14:textId="77777777" w:rsidR="00953FAC" w:rsidRDefault="00953FAC" w:rsidP="00561481">
            <w:pPr>
              <w:pStyle w:val="Default"/>
              <w:numPr>
                <w:ilvl w:val="0"/>
                <w:numId w:val="5"/>
              </w:numPr>
              <w:rPr>
                <w:sz w:val="23"/>
                <w:szCs w:val="23"/>
              </w:rPr>
            </w:pPr>
            <w:r>
              <w:rPr>
                <w:sz w:val="23"/>
                <w:szCs w:val="23"/>
              </w:rPr>
              <w:t xml:space="preserve">Des compétences en recherche et en collecte des données </w:t>
            </w:r>
          </w:p>
          <w:p w14:paraId="493C5502" w14:textId="77777777" w:rsidR="00953FAC" w:rsidRDefault="00953FAC" w:rsidP="00561481">
            <w:pPr>
              <w:pStyle w:val="Default"/>
              <w:numPr>
                <w:ilvl w:val="0"/>
                <w:numId w:val="5"/>
              </w:numPr>
              <w:rPr>
                <w:sz w:val="23"/>
                <w:szCs w:val="23"/>
              </w:rPr>
            </w:pPr>
            <w:r>
              <w:rPr>
                <w:sz w:val="23"/>
                <w:szCs w:val="23"/>
              </w:rPr>
              <w:t xml:space="preserve">La capacité à consulter et à collaborer </w:t>
            </w:r>
            <w:r w:rsidR="00561481">
              <w:rPr>
                <w:sz w:val="23"/>
                <w:szCs w:val="23"/>
              </w:rPr>
              <w:t>avec des parties prenantes clés</w:t>
            </w:r>
            <w:r>
              <w:rPr>
                <w:sz w:val="23"/>
                <w:szCs w:val="23"/>
              </w:rPr>
              <w:t xml:space="preserve"> ; </w:t>
            </w:r>
          </w:p>
          <w:p w14:paraId="278F1A7E" w14:textId="396A22BC" w:rsidR="00D3155E" w:rsidRDefault="00953FAC" w:rsidP="00D3155E">
            <w:pPr>
              <w:pStyle w:val="Default"/>
              <w:numPr>
                <w:ilvl w:val="0"/>
                <w:numId w:val="5"/>
              </w:numPr>
              <w:spacing w:before="120" w:after="120"/>
              <w:ind w:left="357" w:hanging="357"/>
              <w:rPr>
                <w:sz w:val="23"/>
                <w:szCs w:val="23"/>
              </w:rPr>
            </w:pPr>
            <w:r>
              <w:rPr>
                <w:sz w:val="23"/>
                <w:szCs w:val="23"/>
              </w:rPr>
              <w:lastRenderedPageBreak/>
              <w:t xml:space="preserve">Une expérience avérée dans la rédaction de rapports et de </w:t>
            </w:r>
            <w:r w:rsidR="00D3155E">
              <w:rPr>
                <w:sz w:val="23"/>
                <w:szCs w:val="23"/>
              </w:rPr>
              <w:t>de recommandations claires et concises à l’intention des décideurs politique.</w:t>
            </w:r>
          </w:p>
          <w:p w14:paraId="578DA447" w14:textId="37F819AF" w:rsidR="00953FAC" w:rsidRPr="00212747" w:rsidRDefault="00953FAC" w:rsidP="00D3155E">
            <w:pPr>
              <w:pStyle w:val="Default"/>
              <w:rPr>
                <w:sz w:val="23"/>
                <w:szCs w:val="23"/>
              </w:rPr>
            </w:pPr>
          </w:p>
          <w:p w14:paraId="6FE42DA7" w14:textId="77777777" w:rsidR="00953FAC" w:rsidRDefault="00953FAC" w:rsidP="00953FAC">
            <w:pPr>
              <w:pStyle w:val="Default"/>
              <w:ind w:left="360"/>
              <w:rPr>
                <w:b/>
                <w:bCs/>
                <w:sz w:val="23"/>
                <w:szCs w:val="23"/>
              </w:rPr>
            </w:pPr>
            <w:r>
              <w:rPr>
                <w:b/>
                <w:bCs/>
                <w:sz w:val="23"/>
                <w:szCs w:val="23"/>
              </w:rPr>
              <w:t xml:space="preserve">   </w:t>
            </w:r>
            <w:r w:rsidRPr="00953FAC">
              <w:rPr>
                <w:b/>
                <w:bCs/>
                <w:sz w:val="23"/>
                <w:szCs w:val="23"/>
              </w:rPr>
              <w:t>(25</w:t>
            </w:r>
            <w:r>
              <w:rPr>
                <w:b/>
                <w:bCs/>
                <w:sz w:val="23"/>
                <w:szCs w:val="23"/>
              </w:rPr>
              <w:t xml:space="preserve"> points</w:t>
            </w:r>
            <w:r w:rsidRPr="00953FAC">
              <w:rPr>
                <w:b/>
                <w:bCs/>
                <w:sz w:val="23"/>
                <w:szCs w:val="23"/>
              </w:rPr>
              <w:t>)</w:t>
            </w:r>
          </w:p>
          <w:p w14:paraId="1FB85528" w14:textId="77777777" w:rsidR="00953FAC" w:rsidRDefault="00953FAC" w:rsidP="00953FAC">
            <w:pPr>
              <w:pStyle w:val="Default"/>
              <w:ind w:left="360"/>
              <w:rPr>
                <w:sz w:val="23"/>
                <w:szCs w:val="23"/>
              </w:rPr>
            </w:pPr>
          </w:p>
        </w:tc>
        <w:tc>
          <w:tcPr>
            <w:tcW w:w="2150" w:type="dxa"/>
          </w:tcPr>
          <w:p w14:paraId="7DA7B22C" w14:textId="77777777" w:rsidR="00953FAC" w:rsidRDefault="00953FAC" w:rsidP="001F11CC">
            <w:pPr>
              <w:pStyle w:val="Default"/>
              <w:rPr>
                <w:sz w:val="23"/>
                <w:szCs w:val="23"/>
              </w:rPr>
            </w:pPr>
          </w:p>
          <w:p w14:paraId="256B4F9A" w14:textId="77777777" w:rsidR="00953FAC" w:rsidRDefault="00953FAC" w:rsidP="00953FAC">
            <w:pPr>
              <w:pStyle w:val="Default"/>
              <w:rPr>
                <w:sz w:val="23"/>
                <w:szCs w:val="23"/>
              </w:rPr>
            </w:pPr>
            <w:r>
              <w:rPr>
                <w:sz w:val="23"/>
                <w:szCs w:val="23"/>
              </w:rPr>
              <w:t>Pertinence et qualité de la note méthodologique</w:t>
            </w:r>
          </w:p>
          <w:p w14:paraId="20D9861D" w14:textId="77777777" w:rsidR="00FF678C" w:rsidRDefault="00FF678C" w:rsidP="00953FAC">
            <w:pPr>
              <w:pStyle w:val="Default"/>
              <w:rPr>
                <w:sz w:val="23"/>
                <w:szCs w:val="23"/>
              </w:rPr>
            </w:pPr>
          </w:p>
          <w:p w14:paraId="53FABEBB" w14:textId="77777777" w:rsidR="00FF678C" w:rsidRDefault="00FF678C" w:rsidP="00953FAC">
            <w:pPr>
              <w:pStyle w:val="Default"/>
              <w:rPr>
                <w:sz w:val="23"/>
                <w:szCs w:val="23"/>
              </w:rPr>
            </w:pPr>
          </w:p>
          <w:p w14:paraId="5573EE9D" w14:textId="77777777" w:rsidR="00FF678C" w:rsidRPr="00953FAC" w:rsidRDefault="00FF678C" w:rsidP="00FF678C">
            <w:pPr>
              <w:pStyle w:val="Default"/>
              <w:ind w:left="360"/>
              <w:rPr>
                <w:b/>
                <w:bCs/>
                <w:sz w:val="23"/>
                <w:szCs w:val="23"/>
              </w:rPr>
            </w:pPr>
            <w:r>
              <w:rPr>
                <w:b/>
                <w:bCs/>
                <w:sz w:val="23"/>
                <w:szCs w:val="23"/>
              </w:rPr>
              <w:t xml:space="preserve">   </w:t>
            </w:r>
            <w:r w:rsidRPr="00953FAC">
              <w:rPr>
                <w:b/>
                <w:bCs/>
                <w:sz w:val="23"/>
                <w:szCs w:val="23"/>
              </w:rPr>
              <w:t>(</w:t>
            </w:r>
            <w:r>
              <w:rPr>
                <w:b/>
                <w:bCs/>
                <w:sz w:val="23"/>
                <w:szCs w:val="23"/>
              </w:rPr>
              <w:t>5</w:t>
            </w:r>
            <w:r w:rsidR="00C912A7">
              <w:rPr>
                <w:b/>
                <w:bCs/>
                <w:sz w:val="23"/>
                <w:szCs w:val="23"/>
              </w:rPr>
              <w:t>0</w:t>
            </w:r>
            <w:r>
              <w:rPr>
                <w:b/>
                <w:bCs/>
                <w:sz w:val="23"/>
                <w:szCs w:val="23"/>
              </w:rPr>
              <w:t xml:space="preserve"> points)</w:t>
            </w:r>
          </w:p>
          <w:p w14:paraId="5B95DF57" w14:textId="77777777" w:rsidR="00FF678C" w:rsidRDefault="00FF678C" w:rsidP="00953FAC">
            <w:pPr>
              <w:pStyle w:val="Default"/>
              <w:rPr>
                <w:sz w:val="23"/>
                <w:szCs w:val="23"/>
              </w:rPr>
            </w:pPr>
          </w:p>
          <w:p w14:paraId="1FA5F26F" w14:textId="77777777" w:rsidR="00FF678C" w:rsidRDefault="00FF678C" w:rsidP="00953FAC">
            <w:pPr>
              <w:pStyle w:val="Default"/>
              <w:rPr>
                <w:sz w:val="23"/>
                <w:szCs w:val="23"/>
              </w:rPr>
            </w:pPr>
          </w:p>
        </w:tc>
        <w:tc>
          <w:tcPr>
            <w:tcW w:w="1982" w:type="dxa"/>
          </w:tcPr>
          <w:p w14:paraId="3C526065" w14:textId="77777777" w:rsidR="00FF678C" w:rsidRDefault="00FF678C">
            <w:pPr>
              <w:pStyle w:val="Default"/>
              <w:rPr>
                <w:sz w:val="23"/>
                <w:szCs w:val="23"/>
              </w:rPr>
            </w:pPr>
          </w:p>
          <w:p w14:paraId="3F48D4E3" w14:textId="77777777" w:rsidR="00953FAC" w:rsidRDefault="00953FAC">
            <w:pPr>
              <w:pStyle w:val="Default"/>
              <w:rPr>
                <w:sz w:val="23"/>
                <w:szCs w:val="23"/>
              </w:rPr>
            </w:pPr>
            <w:r>
              <w:rPr>
                <w:sz w:val="23"/>
                <w:szCs w:val="23"/>
              </w:rPr>
              <w:t xml:space="preserve">Le T = la note obtenue par chaque concurrent et correspond à la somme des notes de </w:t>
            </w:r>
          </w:p>
          <w:p w14:paraId="681BEC44" w14:textId="77777777" w:rsidR="00953FAC" w:rsidRDefault="00E000EF">
            <w:pPr>
              <w:pStyle w:val="Default"/>
              <w:rPr>
                <w:sz w:val="23"/>
                <w:szCs w:val="23"/>
              </w:rPr>
            </w:pPr>
            <w:r>
              <w:rPr>
                <w:sz w:val="23"/>
                <w:szCs w:val="23"/>
              </w:rPr>
              <w:t>L’évaluation</w:t>
            </w:r>
            <w:r w:rsidR="00953FAC">
              <w:rPr>
                <w:sz w:val="23"/>
                <w:szCs w:val="23"/>
              </w:rPr>
              <w:t xml:space="preserve"> du CV et de la note méthodologique. </w:t>
            </w:r>
          </w:p>
        </w:tc>
      </w:tr>
    </w:tbl>
    <w:p w14:paraId="758281C5" w14:textId="77777777" w:rsidR="00FF678C" w:rsidRDefault="00FF678C" w:rsidP="00FF678C">
      <w:pPr>
        <w:pStyle w:val="Default"/>
        <w:rPr>
          <w:sz w:val="23"/>
          <w:szCs w:val="23"/>
        </w:rPr>
      </w:pPr>
      <w:r>
        <w:rPr>
          <w:b/>
          <w:bCs/>
          <w:sz w:val="23"/>
          <w:szCs w:val="23"/>
        </w:rPr>
        <w:t xml:space="preserve">Important : </w:t>
      </w:r>
    </w:p>
    <w:p w14:paraId="2AB95668" w14:textId="7095CAF5" w:rsidR="001F11CC" w:rsidRDefault="00FF678C" w:rsidP="00FF678C">
      <w:pPr>
        <w:pStyle w:val="Default"/>
        <w:rPr>
          <w:sz w:val="23"/>
          <w:szCs w:val="23"/>
        </w:rPr>
      </w:pPr>
      <w:r>
        <w:rPr>
          <w:sz w:val="23"/>
          <w:szCs w:val="23"/>
        </w:rPr>
        <w:t xml:space="preserve">Seront systématiquement éliminées à l’issue de cette phase toutes les offres ayant obtenu une note technique inférieure à la note technique minimale de </w:t>
      </w:r>
      <w:r w:rsidR="00112F32" w:rsidRPr="00B85687">
        <w:rPr>
          <w:b/>
          <w:bCs/>
          <w:sz w:val="23"/>
          <w:szCs w:val="23"/>
        </w:rPr>
        <w:t xml:space="preserve">60 </w:t>
      </w:r>
      <w:r>
        <w:rPr>
          <w:sz w:val="23"/>
          <w:szCs w:val="23"/>
        </w:rPr>
        <w:t xml:space="preserve">points qui représente </w:t>
      </w:r>
      <w:r w:rsidR="00112F32">
        <w:rPr>
          <w:b/>
          <w:bCs/>
          <w:sz w:val="23"/>
          <w:szCs w:val="23"/>
        </w:rPr>
        <w:t>6</w:t>
      </w:r>
      <w:r w:rsidRPr="00FF678C">
        <w:rPr>
          <w:b/>
          <w:bCs/>
          <w:sz w:val="23"/>
          <w:szCs w:val="23"/>
        </w:rPr>
        <w:t>0%</w:t>
      </w:r>
      <w:r>
        <w:rPr>
          <w:sz w:val="23"/>
          <w:szCs w:val="23"/>
        </w:rPr>
        <w:t xml:space="preserve"> de la note maximale des offres techniques (</w:t>
      </w:r>
      <w:r w:rsidRPr="00FF678C">
        <w:rPr>
          <w:b/>
          <w:bCs/>
          <w:sz w:val="23"/>
          <w:szCs w:val="23"/>
        </w:rPr>
        <w:t>100 points</w:t>
      </w:r>
      <w:r>
        <w:rPr>
          <w:sz w:val="23"/>
          <w:szCs w:val="23"/>
        </w:rPr>
        <w:t>).</w:t>
      </w:r>
    </w:p>
    <w:p w14:paraId="0C79050E" w14:textId="77777777" w:rsidR="00561481" w:rsidRDefault="00561481" w:rsidP="00FF678C">
      <w:pPr>
        <w:pStyle w:val="Default"/>
        <w:rPr>
          <w:b/>
          <w:bCs/>
          <w:sz w:val="23"/>
          <w:szCs w:val="23"/>
        </w:rPr>
      </w:pPr>
    </w:p>
    <w:p w14:paraId="19C3A090" w14:textId="77777777" w:rsidR="00FF678C" w:rsidRDefault="00FF678C" w:rsidP="00FF678C">
      <w:pPr>
        <w:pStyle w:val="Default"/>
        <w:rPr>
          <w:b/>
          <w:bCs/>
          <w:sz w:val="23"/>
          <w:szCs w:val="23"/>
        </w:rPr>
      </w:pPr>
      <w:r w:rsidRPr="00FF678C">
        <w:rPr>
          <w:b/>
          <w:bCs/>
          <w:sz w:val="23"/>
          <w:szCs w:val="23"/>
        </w:rPr>
        <w:t xml:space="preserve">Analyse financière comparative des offres : </w:t>
      </w:r>
    </w:p>
    <w:p w14:paraId="00F369D1" w14:textId="77777777" w:rsidR="00561481" w:rsidRPr="00FF678C" w:rsidRDefault="00561481" w:rsidP="00FF678C">
      <w:pPr>
        <w:pStyle w:val="Default"/>
        <w:rPr>
          <w:b/>
          <w:bCs/>
          <w:sz w:val="23"/>
          <w:szCs w:val="23"/>
        </w:rPr>
      </w:pPr>
    </w:p>
    <w:p w14:paraId="152F1E91" w14:textId="77777777" w:rsidR="00FF678C" w:rsidRDefault="00FF678C" w:rsidP="00FF678C">
      <w:pPr>
        <w:pStyle w:val="Default"/>
        <w:rPr>
          <w:sz w:val="23"/>
          <w:szCs w:val="23"/>
        </w:rPr>
      </w:pPr>
      <w:r>
        <w:rPr>
          <w:sz w:val="23"/>
          <w:szCs w:val="23"/>
        </w:rPr>
        <w:t xml:space="preserve">A l’issue de cette phase, chaque offre financière sera dotée d’une note (F) sur </w:t>
      </w:r>
      <w:r w:rsidRPr="00FF678C">
        <w:rPr>
          <w:b/>
          <w:bCs/>
          <w:sz w:val="23"/>
          <w:szCs w:val="23"/>
        </w:rPr>
        <w:t>100</w:t>
      </w:r>
      <w:r>
        <w:rPr>
          <w:sz w:val="23"/>
          <w:szCs w:val="23"/>
        </w:rPr>
        <w:t xml:space="preserve"> : </w:t>
      </w:r>
    </w:p>
    <w:p w14:paraId="4BB45786" w14:textId="77777777" w:rsidR="00FF678C" w:rsidRDefault="00FF678C" w:rsidP="00FF678C">
      <w:pPr>
        <w:pStyle w:val="Default"/>
        <w:rPr>
          <w:sz w:val="23"/>
          <w:szCs w:val="23"/>
        </w:rPr>
      </w:pPr>
      <w:r>
        <w:rPr>
          <w:sz w:val="23"/>
          <w:szCs w:val="23"/>
        </w:rPr>
        <w:t>La note</w:t>
      </w:r>
      <w:r w:rsidRPr="00FF678C">
        <w:rPr>
          <w:b/>
          <w:bCs/>
          <w:sz w:val="23"/>
          <w:szCs w:val="23"/>
        </w:rPr>
        <w:t xml:space="preserve"> 100</w:t>
      </w:r>
      <w:r>
        <w:rPr>
          <w:sz w:val="23"/>
          <w:szCs w:val="23"/>
        </w:rPr>
        <w:t xml:space="preserve"> sera attribuée à l’offre valable techniquement et le moins disant. Pour les autres offres, la note sera calculée au moyen de la formule suivante :</w:t>
      </w:r>
    </w:p>
    <w:p w14:paraId="608E9385" w14:textId="77777777" w:rsidR="00561481" w:rsidRDefault="00561481" w:rsidP="00FF678C">
      <w:pPr>
        <w:pStyle w:val="Default"/>
        <w:rPr>
          <w:sz w:val="23"/>
          <w:szCs w:val="23"/>
        </w:rPr>
      </w:pPr>
    </w:p>
    <w:p w14:paraId="58BE43C2" w14:textId="77777777" w:rsidR="00FF678C" w:rsidRDefault="00FF678C" w:rsidP="00FF678C">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509"/>
        <w:gridCol w:w="4509"/>
      </w:tblGrid>
      <w:tr w:rsidR="00FF678C" w14:paraId="2B18DC75" w14:textId="77777777" w:rsidTr="000412DC">
        <w:trPr>
          <w:trHeight w:val="422"/>
        </w:trPr>
        <w:tc>
          <w:tcPr>
            <w:tcW w:w="4509" w:type="dxa"/>
            <w:shd w:val="clear" w:color="auto" w:fill="C6D9F1" w:themeFill="text2" w:themeFillTint="33"/>
          </w:tcPr>
          <w:p w14:paraId="163A5FA4" w14:textId="62406BF0" w:rsidR="00FF678C" w:rsidRDefault="00CF3711" w:rsidP="00CF3711">
            <w:pPr>
              <w:pStyle w:val="Default"/>
              <w:jc w:val="center"/>
              <w:rPr>
                <w:sz w:val="23"/>
                <w:szCs w:val="23"/>
              </w:rPr>
            </w:pPr>
            <w:r>
              <w:rPr>
                <w:b/>
                <w:bCs/>
                <w:sz w:val="23"/>
                <w:szCs w:val="23"/>
              </w:rPr>
              <w:br/>
            </w:r>
            <w:r w:rsidR="00FF678C">
              <w:rPr>
                <w:b/>
                <w:bCs/>
                <w:sz w:val="23"/>
                <w:szCs w:val="23"/>
              </w:rPr>
              <w:t>F= 100 *</w:t>
            </w:r>
            <w:proofErr w:type="spellStart"/>
            <w:r w:rsidR="00FF678C">
              <w:rPr>
                <w:b/>
                <w:bCs/>
                <w:sz w:val="23"/>
                <w:szCs w:val="23"/>
              </w:rPr>
              <w:t>Pmin</w:t>
            </w:r>
            <w:proofErr w:type="spellEnd"/>
            <w:r w:rsidR="00FF678C">
              <w:rPr>
                <w:b/>
                <w:bCs/>
                <w:sz w:val="23"/>
                <w:szCs w:val="23"/>
              </w:rPr>
              <w:t>/P</w:t>
            </w:r>
          </w:p>
        </w:tc>
        <w:tc>
          <w:tcPr>
            <w:tcW w:w="4509" w:type="dxa"/>
            <w:shd w:val="clear" w:color="auto" w:fill="C6D9F1" w:themeFill="text2" w:themeFillTint="33"/>
          </w:tcPr>
          <w:p w14:paraId="5873DB36" w14:textId="77777777" w:rsidR="00FF678C" w:rsidRDefault="00FF678C">
            <w:pPr>
              <w:pStyle w:val="Default"/>
              <w:rPr>
                <w:sz w:val="23"/>
                <w:szCs w:val="23"/>
              </w:rPr>
            </w:pPr>
            <w:r w:rsidRPr="00FF678C">
              <w:rPr>
                <w:b/>
                <w:bCs/>
                <w:i/>
                <w:iCs/>
                <w:sz w:val="23"/>
                <w:szCs w:val="23"/>
              </w:rPr>
              <w:t>P :</w:t>
            </w:r>
            <w:r>
              <w:rPr>
                <w:i/>
                <w:iCs/>
                <w:sz w:val="23"/>
                <w:szCs w:val="23"/>
              </w:rPr>
              <w:t xml:space="preserve"> Prix de l’offre </w:t>
            </w:r>
          </w:p>
          <w:p w14:paraId="705940D3" w14:textId="5C79BC03" w:rsidR="000412DC" w:rsidRPr="000412DC" w:rsidRDefault="00FF678C" w:rsidP="00CF3711">
            <w:pPr>
              <w:pStyle w:val="Default"/>
              <w:rPr>
                <w:i/>
                <w:iCs/>
                <w:sz w:val="23"/>
                <w:szCs w:val="23"/>
              </w:rPr>
            </w:pPr>
            <w:proofErr w:type="spellStart"/>
            <w:r w:rsidRPr="00FF678C">
              <w:rPr>
                <w:b/>
                <w:bCs/>
                <w:sz w:val="23"/>
                <w:szCs w:val="23"/>
              </w:rPr>
              <w:t>Pmin</w:t>
            </w:r>
            <w:proofErr w:type="spellEnd"/>
            <w:r w:rsidRPr="00FF678C">
              <w:rPr>
                <w:b/>
                <w:bCs/>
                <w:sz w:val="23"/>
                <w:szCs w:val="23"/>
              </w:rPr>
              <w:t xml:space="preserve"> :</w:t>
            </w:r>
            <w:r>
              <w:rPr>
                <w:i/>
                <w:iCs/>
                <w:sz w:val="23"/>
                <w:szCs w:val="23"/>
              </w:rPr>
              <w:t xml:space="preserve"> Prix de l’offre valable techniquement et </w:t>
            </w:r>
            <w:r w:rsidR="00E41B76">
              <w:rPr>
                <w:i/>
                <w:iCs/>
                <w:sz w:val="23"/>
                <w:szCs w:val="23"/>
              </w:rPr>
              <w:t>le moins</w:t>
            </w:r>
            <w:r w:rsidR="00F6665B">
              <w:rPr>
                <w:i/>
                <w:iCs/>
                <w:sz w:val="23"/>
                <w:szCs w:val="23"/>
              </w:rPr>
              <w:t xml:space="preserve"> disant</w:t>
            </w:r>
            <w:r>
              <w:rPr>
                <w:i/>
                <w:iCs/>
                <w:sz w:val="23"/>
                <w:szCs w:val="23"/>
              </w:rPr>
              <w:t>.</w:t>
            </w:r>
          </w:p>
        </w:tc>
      </w:tr>
    </w:tbl>
    <w:p w14:paraId="73CE4D71" w14:textId="77777777" w:rsidR="00682B80" w:rsidRDefault="00682B80" w:rsidP="000412DC">
      <w:pPr>
        <w:autoSpaceDE w:val="0"/>
        <w:autoSpaceDN w:val="0"/>
        <w:adjustRightInd w:val="0"/>
        <w:spacing w:after="0" w:line="240" w:lineRule="auto"/>
        <w:rPr>
          <w:rFonts w:ascii="Georgia" w:hAnsi="Georgia" w:cs="Georgia"/>
          <w:b/>
          <w:bCs/>
          <w:color w:val="000000"/>
          <w:sz w:val="23"/>
          <w:szCs w:val="23"/>
        </w:rPr>
      </w:pPr>
    </w:p>
    <w:p w14:paraId="4C7DD931" w14:textId="77777777" w:rsidR="00AE68F0" w:rsidRDefault="00AE68F0" w:rsidP="000412DC">
      <w:pPr>
        <w:autoSpaceDE w:val="0"/>
        <w:autoSpaceDN w:val="0"/>
        <w:adjustRightInd w:val="0"/>
        <w:spacing w:after="0" w:line="240" w:lineRule="auto"/>
        <w:rPr>
          <w:rFonts w:ascii="Georgia" w:hAnsi="Georgia" w:cs="Georgia"/>
          <w:b/>
          <w:bCs/>
          <w:color w:val="000000"/>
          <w:sz w:val="23"/>
          <w:szCs w:val="23"/>
        </w:rPr>
      </w:pPr>
    </w:p>
    <w:p w14:paraId="1302116F" w14:textId="77777777" w:rsidR="000412DC" w:rsidRDefault="000412DC" w:rsidP="000412DC">
      <w:pPr>
        <w:autoSpaceDE w:val="0"/>
        <w:autoSpaceDN w:val="0"/>
        <w:adjustRightInd w:val="0"/>
        <w:spacing w:after="0" w:line="240" w:lineRule="auto"/>
        <w:rPr>
          <w:rFonts w:ascii="Georgia" w:hAnsi="Georgia" w:cs="Georgia"/>
          <w:b/>
          <w:bCs/>
          <w:color w:val="000000"/>
          <w:sz w:val="23"/>
          <w:szCs w:val="23"/>
        </w:rPr>
      </w:pPr>
      <w:r w:rsidRPr="000412DC">
        <w:rPr>
          <w:rFonts w:ascii="Georgia" w:hAnsi="Georgia" w:cs="Georgia"/>
          <w:b/>
          <w:bCs/>
          <w:color w:val="000000"/>
          <w:sz w:val="23"/>
          <w:szCs w:val="23"/>
        </w:rPr>
        <w:t xml:space="preserve">Analyse technico-financière : </w:t>
      </w:r>
    </w:p>
    <w:p w14:paraId="516380A0" w14:textId="77777777" w:rsidR="00561481" w:rsidRPr="000412DC" w:rsidRDefault="00561481" w:rsidP="000412DC">
      <w:pPr>
        <w:autoSpaceDE w:val="0"/>
        <w:autoSpaceDN w:val="0"/>
        <w:adjustRightInd w:val="0"/>
        <w:spacing w:after="0" w:line="240" w:lineRule="auto"/>
        <w:rPr>
          <w:rFonts w:ascii="Georgia" w:hAnsi="Georgia" w:cs="Georgia"/>
          <w:b/>
          <w:bCs/>
          <w:color w:val="000000"/>
          <w:sz w:val="23"/>
          <w:szCs w:val="23"/>
        </w:rPr>
      </w:pPr>
    </w:p>
    <w:p w14:paraId="714A67E4" w14:textId="77777777" w:rsidR="000412DC" w:rsidRDefault="000412DC" w:rsidP="000412DC">
      <w:pPr>
        <w:autoSpaceDE w:val="0"/>
        <w:autoSpaceDN w:val="0"/>
        <w:adjustRightInd w:val="0"/>
        <w:spacing w:after="0" w:line="240" w:lineRule="auto"/>
        <w:rPr>
          <w:rFonts w:ascii="Georgia" w:hAnsi="Georgia" w:cs="Georgia"/>
          <w:color w:val="000000"/>
          <w:sz w:val="23"/>
          <w:szCs w:val="23"/>
        </w:rPr>
      </w:pPr>
      <w:r w:rsidRPr="000412DC">
        <w:rPr>
          <w:rFonts w:ascii="Georgia" w:hAnsi="Georgia" w:cs="Georgia"/>
          <w:color w:val="000000"/>
          <w:sz w:val="23"/>
          <w:szCs w:val="23"/>
        </w:rPr>
        <w:t xml:space="preserve">Les notes techniques </w:t>
      </w:r>
      <w:r w:rsidRPr="000239C9">
        <w:rPr>
          <w:rFonts w:ascii="Georgia" w:hAnsi="Georgia" w:cs="Georgia"/>
          <w:b/>
          <w:bCs/>
          <w:color w:val="000000"/>
          <w:sz w:val="23"/>
          <w:szCs w:val="23"/>
        </w:rPr>
        <w:t xml:space="preserve">(T) </w:t>
      </w:r>
      <w:r w:rsidRPr="000412DC">
        <w:rPr>
          <w:rFonts w:ascii="Georgia" w:hAnsi="Georgia" w:cs="Georgia"/>
          <w:color w:val="000000"/>
          <w:sz w:val="23"/>
          <w:szCs w:val="23"/>
        </w:rPr>
        <w:t xml:space="preserve">et financières </w:t>
      </w:r>
      <w:r w:rsidRPr="000239C9">
        <w:rPr>
          <w:rFonts w:ascii="Georgia" w:hAnsi="Georgia" w:cs="Georgia"/>
          <w:b/>
          <w:bCs/>
          <w:color w:val="000000"/>
          <w:sz w:val="23"/>
          <w:szCs w:val="23"/>
        </w:rPr>
        <w:t>(F)</w:t>
      </w:r>
      <w:r w:rsidRPr="000412DC">
        <w:rPr>
          <w:rFonts w:ascii="Georgia" w:hAnsi="Georgia" w:cs="Georgia"/>
          <w:color w:val="000000"/>
          <w:sz w:val="23"/>
          <w:szCs w:val="23"/>
        </w:rPr>
        <w:t xml:space="preserve"> obtenues pour chaque candidat seront </w:t>
      </w:r>
      <w:r w:rsidRPr="00367686">
        <w:rPr>
          <w:rFonts w:ascii="Georgia" w:hAnsi="Georgia" w:cs="Georgia"/>
          <w:color w:val="000000"/>
          <w:sz w:val="23"/>
          <w:szCs w:val="23"/>
        </w:rPr>
        <w:t>pondérées</w:t>
      </w:r>
      <w:r w:rsidRPr="000412DC">
        <w:rPr>
          <w:rFonts w:ascii="Georgia" w:hAnsi="Georgia" w:cs="Georgia"/>
          <w:color w:val="000000"/>
          <w:sz w:val="23"/>
          <w:szCs w:val="23"/>
        </w:rPr>
        <w:t xml:space="preserve"> respectivement par les coefficients suivants :</w:t>
      </w:r>
    </w:p>
    <w:p w14:paraId="4E809A00" w14:textId="77777777" w:rsidR="000412DC" w:rsidRPr="000412DC" w:rsidRDefault="000412DC" w:rsidP="000412DC">
      <w:pPr>
        <w:autoSpaceDE w:val="0"/>
        <w:autoSpaceDN w:val="0"/>
        <w:adjustRightInd w:val="0"/>
        <w:spacing w:after="0" w:line="240" w:lineRule="auto"/>
        <w:rPr>
          <w:rFonts w:ascii="Symbol" w:hAnsi="Symbol"/>
          <w:sz w:val="24"/>
          <w:szCs w:val="24"/>
        </w:rPr>
      </w:pPr>
    </w:p>
    <w:p w14:paraId="36A0DBBA" w14:textId="77777777" w:rsidR="000412DC" w:rsidRPr="000412DC" w:rsidRDefault="000412DC" w:rsidP="000412DC">
      <w:pPr>
        <w:pStyle w:val="ListParagraph"/>
        <w:numPr>
          <w:ilvl w:val="0"/>
          <w:numId w:val="17"/>
        </w:numPr>
        <w:autoSpaceDE w:val="0"/>
        <w:autoSpaceDN w:val="0"/>
        <w:adjustRightInd w:val="0"/>
        <w:spacing w:after="0" w:line="240" w:lineRule="auto"/>
        <w:rPr>
          <w:rFonts w:ascii="Georgia" w:hAnsi="Georgia" w:cs="Georgia"/>
          <w:color w:val="000000"/>
          <w:sz w:val="23"/>
          <w:szCs w:val="23"/>
        </w:rPr>
      </w:pPr>
      <w:r w:rsidRPr="000412DC">
        <w:rPr>
          <w:rFonts w:ascii="Georgia" w:hAnsi="Georgia" w:cs="Georgia"/>
          <w:color w:val="000000"/>
          <w:sz w:val="23"/>
          <w:szCs w:val="23"/>
        </w:rPr>
        <w:t>70% pour</w:t>
      </w:r>
      <w:r w:rsidRPr="00CF3711">
        <w:rPr>
          <w:rFonts w:ascii="Georgia" w:hAnsi="Georgia" w:cs="Georgia"/>
          <w:color w:val="000000"/>
          <w:sz w:val="23"/>
          <w:szCs w:val="23"/>
        </w:rPr>
        <w:t xml:space="preserve"> l’offre</w:t>
      </w:r>
      <w:r w:rsidRPr="000412DC">
        <w:rPr>
          <w:rFonts w:ascii="Georgia" w:hAnsi="Georgia" w:cs="Georgia"/>
          <w:color w:val="000000"/>
          <w:sz w:val="23"/>
          <w:szCs w:val="23"/>
        </w:rPr>
        <w:t xml:space="preserve"> technique </w:t>
      </w:r>
    </w:p>
    <w:p w14:paraId="541A2D5C" w14:textId="77777777" w:rsidR="000412DC" w:rsidRPr="000412DC" w:rsidRDefault="000412DC" w:rsidP="000412DC">
      <w:pPr>
        <w:pStyle w:val="ListParagraph"/>
        <w:numPr>
          <w:ilvl w:val="0"/>
          <w:numId w:val="17"/>
        </w:numPr>
        <w:autoSpaceDE w:val="0"/>
        <w:autoSpaceDN w:val="0"/>
        <w:adjustRightInd w:val="0"/>
        <w:spacing w:after="0" w:line="240" w:lineRule="auto"/>
        <w:rPr>
          <w:rFonts w:ascii="Georgia" w:hAnsi="Georgia" w:cs="Georgia"/>
          <w:color w:val="000000"/>
          <w:sz w:val="23"/>
          <w:szCs w:val="23"/>
        </w:rPr>
      </w:pPr>
      <w:r w:rsidRPr="000412DC">
        <w:rPr>
          <w:rFonts w:ascii="Georgia" w:hAnsi="Georgia" w:cs="Georgia"/>
          <w:color w:val="000000"/>
          <w:sz w:val="23"/>
          <w:szCs w:val="23"/>
        </w:rPr>
        <w:t xml:space="preserve">30% pour l’offre financière </w:t>
      </w:r>
    </w:p>
    <w:p w14:paraId="0B4B0482" w14:textId="77777777" w:rsidR="000412DC" w:rsidRPr="000412DC" w:rsidRDefault="000412DC" w:rsidP="000412DC">
      <w:pPr>
        <w:autoSpaceDE w:val="0"/>
        <w:autoSpaceDN w:val="0"/>
        <w:adjustRightInd w:val="0"/>
        <w:spacing w:after="0" w:line="240" w:lineRule="auto"/>
        <w:rPr>
          <w:rFonts w:ascii="Georgia" w:hAnsi="Georgia" w:cs="Georgia"/>
          <w:color w:val="000000"/>
          <w:sz w:val="23"/>
          <w:szCs w:val="23"/>
        </w:rPr>
      </w:pPr>
    </w:p>
    <w:tbl>
      <w:tblPr>
        <w:tblStyle w:val="TableGrid"/>
        <w:tblW w:w="9240" w:type="dxa"/>
        <w:tblLook w:val="04A0" w:firstRow="1" w:lastRow="0" w:firstColumn="1" w:lastColumn="0" w:noHBand="0" w:noVBand="1"/>
      </w:tblPr>
      <w:tblGrid>
        <w:gridCol w:w="9240"/>
      </w:tblGrid>
      <w:tr w:rsidR="000412DC" w14:paraId="77309473" w14:textId="77777777" w:rsidTr="00CF3711">
        <w:trPr>
          <w:trHeight w:val="274"/>
        </w:trPr>
        <w:tc>
          <w:tcPr>
            <w:tcW w:w="9240" w:type="dxa"/>
            <w:shd w:val="clear" w:color="auto" w:fill="D6E3BC" w:themeFill="accent3" w:themeFillTint="66"/>
          </w:tcPr>
          <w:p w14:paraId="57F899C9" w14:textId="77777777" w:rsidR="000412DC" w:rsidRPr="000412DC" w:rsidRDefault="000412DC" w:rsidP="00CF3711">
            <w:pPr>
              <w:autoSpaceDE w:val="0"/>
              <w:autoSpaceDN w:val="0"/>
              <w:adjustRightInd w:val="0"/>
              <w:jc w:val="center"/>
              <w:rPr>
                <w:rFonts w:ascii="Symbol" w:hAnsi="Symbol"/>
                <w:sz w:val="24"/>
                <w:szCs w:val="24"/>
              </w:rPr>
            </w:pPr>
            <w:r w:rsidRPr="00CF3711">
              <w:rPr>
                <w:b/>
                <w:bCs/>
                <w:sz w:val="24"/>
                <w:szCs w:val="24"/>
              </w:rPr>
              <w:t>N= 0,7 * T + 0,3* F</w:t>
            </w:r>
          </w:p>
        </w:tc>
      </w:tr>
    </w:tbl>
    <w:p w14:paraId="1DBBF737" w14:textId="77777777" w:rsidR="000412DC" w:rsidRDefault="000412DC" w:rsidP="00FF678C">
      <w:pPr>
        <w:pStyle w:val="Default"/>
        <w:rPr>
          <w:b/>
          <w:bCs/>
          <w:sz w:val="23"/>
          <w:szCs w:val="23"/>
        </w:rPr>
      </w:pPr>
    </w:p>
    <w:p w14:paraId="7789327B" w14:textId="681205C2" w:rsidR="000412DC" w:rsidRPr="00E41B76" w:rsidRDefault="000412DC" w:rsidP="00E41B76">
      <w:pPr>
        <w:pStyle w:val="Default"/>
        <w:rPr>
          <w:b/>
          <w:bCs/>
          <w:color w:val="002060"/>
          <w:sz w:val="23"/>
          <w:szCs w:val="23"/>
        </w:rPr>
      </w:pPr>
      <w:r w:rsidRPr="00682B80">
        <w:rPr>
          <w:b/>
          <w:bCs/>
          <w:color w:val="002060"/>
          <w:sz w:val="23"/>
          <w:szCs w:val="23"/>
        </w:rPr>
        <w:t>Le Contrat sera adjugé à l’offre ayant obtenu la note « N » la plus élevée.</w:t>
      </w:r>
    </w:p>
    <w:p w14:paraId="65627F8F" w14:textId="77777777" w:rsidR="00682B80" w:rsidRDefault="00682B80" w:rsidP="000412DC">
      <w:pPr>
        <w:pStyle w:val="Default"/>
        <w:rPr>
          <w:b/>
          <w:bCs/>
          <w:color w:val="auto"/>
          <w:sz w:val="26"/>
          <w:szCs w:val="26"/>
        </w:rPr>
      </w:pPr>
    </w:p>
    <w:p w14:paraId="0EC479ED" w14:textId="77777777" w:rsidR="000412DC" w:rsidRDefault="000412DC" w:rsidP="000412DC">
      <w:pPr>
        <w:pStyle w:val="Default"/>
        <w:rPr>
          <w:b/>
          <w:bCs/>
          <w:color w:val="auto"/>
          <w:sz w:val="26"/>
          <w:szCs w:val="26"/>
        </w:rPr>
      </w:pPr>
      <w:r w:rsidRPr="000412DC">
        <w:rPr>
          <w:b/>
          <w:bCs/>
          <w:color w:val="auto"/>
          <w:sz w:val="26"/>
          <w:szCs w:val="26"/>
        </w:rPr>
        <w:t>1</w:t>
      </w:r>
      <w:r>
        <w:rPr>
          <w:b/>
          <w:bCs/>
          <w:color w:val="auto"/>
          <w:sz w:val="26"/>
          <w:szCs w:val="26"/>
        </w:rPr>
        <w:t>3</w:t>
      </w:r>
      <w:r w:rsidRPr="000412DC">
        <w:rPr>
          <w:b/>
          <w:bCs/>
          <w:color w:val="auto"/>
          <w:sz w:val="26"/>
          <w:szCs w:val="26"/>
        </w:rPr>
        <w:t xml:space="preserve">- Modalités contractuelles et financières : </w:t>
      </w:r>
    </w:p>
    <w:p w14:paraId="22863EEF" w14:textId="77777777" w:rsidR="00561481" w:rsidRDefault="00682B80" w:rsidP="00682B80">
      <w:pPr>
        <w:pStyle w:val="Default"/>
        <w:rPr>
          <w:color w:val="auto"/>
          <w:sz w:val="16"/>
          <w:szCs w:val="16"/>
        </w:rPr>
      </w:pPr>
      <w:r>
        <w:rPr>
          <w:color w:val="auto"/>
          <w:sz w:val="16"/>
          <w:szCs w:val="16"/>
        </w:rPr>
        <w:t>……………………………..……….………………………………………………………………………………………………................................................</w:t>
      </w:r>
    </w:p>
    <w:p w14:paraId="13291564" w14:textId="77777777" w:rsidR="00682B80" w:rsidRDefault="00682B80" w:rsidP="00682B80">
      <w:pPr>
        <w:pStyle w:val="Default"/>
        <w:rPr>
          <w:color w:val="auto"/>
          <w:sz w:val="16"/>
          <w:szCs w:val="16"/>
        </w:rPr>
      </w:pPr>
      <w:r>
        <w:rPr>
          <w:color w:val="auto"/>
          <w:sz w:val="16"/>
          <w:szCs w:val="16"/>
        </w:rPr>
        <w:t xml:space="preserve"> </w:t>
      </w:r>
    </w:p>
    <w:p w14:paraId="2A266A82" w14:textId="77777777" w:rsidR="00682B80" w:rsidRDefault="00682B80" w:rsidP="00682B80">
      <w:pPr>
        <w:pStyle w:val="Default"/>
        <w:rPr>
          <w:color w:val="auto"/>
          <w:sz w:val="16"/>
          <w:szCs w:val="16"/>
        </w:rPr>
      </w:pPr>
    </w:p>
    <w:p w14:paraId="1ED0B427" w14:textId="77777777" w:rsidR="000412DC" w:rsidRDefault="000412DC" w:rsidP="00606D5F">
      <w:pPr>
        <w:pStyle w:val="Default"/>
        <w:jc w:val="both"/>
        <w:rPr>
          <w:sz w:val="23"/>
          <w:szCs w:val="23"/>
        </w:rPr>
      </w:pPr>
      <w:r>
        <w:rPr>
          <w:sz w:val="23"/>
          <w:szCs w:val="23"/>
        </w:rPr>
        <w:t xml:space="preserve">Le contrat de ladite consultation sera établi entre le bureau de l’UNFPA-RABAT et le(a) consultant(e). Le paiement direct sera effectué dans le cadre de </w:t>
      </w:r>
      <w:r w:rsidRPr="00606D5F">
        <w:rPr>
          <w:b/>
          <w:bCs/>
          <w:sz w:val="23"/>
          <w:szCs w:val="23"/>
        </w:rPr>
        <w:t xml:space="preserve">la coopération Ministère de la Santé et de la Protection Sociale/UNFPA </w:t>
      </w:r>
      <w:r>
        <w:rPr>
          <w:sz w:val="23"/>
          <w:szCs w:val="23"/>
        </w:rPr>
        <w:t xml:space="preserve">selon le </w:t>
      </w:r>
      <w:r w:rsidRPr="000239C9">
        <w:rPr>
          <w:b/>
          <w:bCs/>
          <w:sz w:val="23"/>
          <w:szCs w:val="23"/>
        </w:rPr>
        <w:t>PTA 2024</w:t>
      </w:r>
      <w:r>
        <w:rPr>
          <w:sz w:val="23"/>
          <w:szCs w:val="23"/>
        </w:rPr>
        <w:t xml:space="preserve"> après validation et finalisation des livrables. </w:t>
      </w:r>
    </w:p>
    <w:p w14:paraId="479BF51D" w14:textId="77777777" w:rsidR="000412DC" w:rsidRDefault="000412DC" w:rsidP="00606D5F">
      <w:pPr>
        <w:pStyle w:val="Default"/>
        <w:jc w:val="both"/>
        <w:rPr>
          <w:sz w:val="23"/>
          <w:szCs w:val="23"/>
        </w:rPr>
      </w:pPr>
      <w:r>
        <w:rPr>
          <w:sz w:val="23"/>
          <w:szCs w:val="23"/>
        </w:rPr>
        <w:t xml:space="preserve">Ce contrat doit mentionner que le consultant(e) devra déclarer ces prestations pour mesure d’Impôt sur le Revenu. </w:t>
      </w:r>
    </w:p>
    <w:p w14:paraId="265FB872" w14:textId="77777777" w:rsidR="00561481" w:rsidRDefault="00561481" w:rsidP="000412DC">
      <w:pPr>
        <w:pStyle w:val="Default"/>
        <w:rPr>
          <w:sz w:val="23"/>
          <w:szCs w:val="23"/>
        </w:rPr>
      </w:pPr>
    </w:p>
    <w:p w14:paraId="4133B0A0" w14:textId="77777777" w:rsidR="000412DC" w:rsidRDefault="000412DC" w:rsidP="000412DC">
      <w:pPr>
        <w:pStyle w:val="Default"/>
        <w:rPr>
          <w:b/>
          <w:bCs/>
          <w:color w:val="auto"/>
          <w:sz w:val="26"/>
          <w:szCs w:val="26"/>
        </w:rPr>
      </w:pPr>
      <w:r w:rsidRPr="000412DC">
        <w:rPr>
          <w:b/>
          <w:bCs/>
          <w:color w:val="auto"/>
          <w:sz w:val="26"/>
          <w:szCs w:val="26"/>
        </w:rPr>
        <w:t>1</w:t>
      </w:r>
      <w:r>
        <w:rPr>
          <w:b/>
          <w:bCs/>
          <w:color w:val="auto"/>
          <w:sz w:val="26"/>
          <w:szCs w:val="26"/>
        </w:rPr>
        <w:t>4</w:t>
      </w:r>
      <w:r w:rsidRPr="000412DC">
        <w:rPr>
          <w:b/>
          <w:bCs/>
          <w:color w:val="auto"/>
          <w:sz w:val="26"/>
          <w:szCs w:val="26"/>
        </w:rPr>
        <w:t xml:space="preserve">- Plagiat et considérations éthiques : </w:t>
      </w:r>
    </w:p>
    <w:p w14:paraId="190510EE" w14:textId="1C35B2A4" w:rsidR="00561481" w:rsidRDefault="00682B80" w:rsidP="00E41B76">
      <w:pPr>
        <w:pStyle w:val="Default"/>
        <w:rPr>
          <w:color w:val="auto"/>
          <w:sz w:val="16"/>
          <w:szCs w:val="16"/>
        </w:rPr>
      </w:pPr>
      <w:r>
        <w:rPr>
          <w:color w:val="auto"/>
          <w:sz w:val="16"/>
          <w:szCs w:val="16"/>
        </w:rPr>
        <w:t xml:space="preserve">……………………………..……….………………………………………………………………………………………………................................................ </w:t>
      </w:r>
    </w:p>
    <w:p w14:paraId="72674AB5" w14:textId="77777777" w:rsidR="00682B80" w:rsidRDefault="00682B80" w:rsidP="00682B80">
      <w:pPr>
        <w:pStyle w:val="Default"/>
        <w:rPr>
          <w:color w:val="auto"/>
          <w:sz w:val="16"/>
          <w:szCs w:val="16"/>
        </w:rPr>
      </w:pPr>
    </w:p>
    <w:p w14:paraId="7FA9F032" w14:textId="77777777" w:rsidR="000412DC" w:rsidRDefault="000412DC" w:rsidP="00606D5F">
      <w:pPr>
        <w:pStyle w:val="Default"/>
        <w:jc w:val="both"/>
        <w:rPr>
          <w:sz w:val="23"/>
          <w:szCs w:val="23"/>
        </w:rPr>
      </w:pPr>
      <w:r>
        <w:rPr>
          <w:sz w:val="23"/>
          <w:szCs w:val="23"/>
        </w:rPr>
        <w:t xml:space="preserve">Avant tout entretien avec des personnes dans le cadre de cette consultation, le(a) consultant(e) se doit d’expliquer le contexte et les objectifs de son travail et obtenir le consentement éclairé de la personne, notamment en cas d’enregistrement audio de l’entretien. Les informations recueillies dans le cadre de ce travail doivent rester confidentielles. En cas d’infraction à cette règle, les livrables ne seront pas validés. </w:t>
      </w:r>
    </w:p>
    <w:p w14:paraId="3570A47A" w14:textId="77777777" w:rsidR="000412DC" w:rsidRDefault="000412DC" w:rsidP="00606D5F">
      <w:pPr>
        <w:pStyle w:val="Default"/>
        <w:jc w:val="both"/>
        <w:rPr>
          <w:sz w:val="23"/>
          <w:szCs w:val="23"/>
        </w:rPr>
      </w:pPr>
      <w:r>
        <w:rPr>
          <w:sz w:val="23"/>
          <w:szCs w:val="23"/>
        </w:rPr>
        <w:t>Aussi, et conformément aux règles en vigueur, le plagiat est considéré comme une pratique frauduleuse. Aucun document ou livrable élaboré par le(a) consultant(e) ne sera accepté en cas de détection de plagiat et le travail sera considéré comme non fait.</w:t>
      </w:r>
    </w:p>
    <w:p w14:paraId="3D62AEF7" w14:textId="77777777" w:rsidR="000412DC" w:rsidRDefault="000412DC" w:rsidP="000412DC">
      <w:pPr>
        <w:pStyle w:val="Default"/>
        <w:rPr>
          <w:sz w:val="23"/>
          <w:szCs w:val="23"/>
        </w:rPr>
      </w:pPr>
    </w:p>
    <w:p w14:paraId="0DDF20FC" w14:textId="77777777" w:rsidR="00561481" w:rsidRDefault="00561481" w:rsidP="000412DC">
      <w:pPr>
        <w:pStyle w:val="Default"/>
        <w:rPr>
          <w:b/>
          <w:bCs/>
          <w:color w:val="auto"/>
          <w:sz w:val="26"/>
          <w:szCs w:val="26"/>
        </w:rPr>
      </w:pPr>
    </w:p>
    <w:p w14:paraId="44012290" w14:textId="77777777" w:rsidR="00561481" w:rsidRDefault="00561481" w:rsidP="000412DC">
      <w:pPr>
        <w:pStyle w:val="Default"/>
        <w:rPr>
          <w:b/>
          <w:bCs/>
          <w:color w:val="auto"/>
          <w:sz w:val="26"/>
          <w:szCs w:val="26"/>
        </w:rPr>
      </w:pPr>
    </w:p>
    <w:p w14:paraId="42099E05" w14:textId="77777777" w:rsidR="000412DC" w:rsidRDefault="000412DC" w:rsidP="000412DC">
      <w:pPr>
        <w:pStyle w:val="Default"/>
        <w:rPr>
          <w:b/>
          <w:bCs/>
          <w:color w:val="auto"/>
          <w:sz w:val="26"/>
          <w:szCs w:val="26"/>
        </w:rPr>
      </w:pPr>
      <w:r w:rsidRPr="000412DC">
        <w:rPr>
          <w:b/>
          <w:bCs/>
          <w:color w:val="auto"/>
          <w:sz w:val="26"/>
          <w:szCs w:val="26"/>
        </w:rPr>
        <w:t>1</w:t>
      </w:r>
      <w:r>
        <w:rPr>
          <w:b/>
          <w:bCs/>
          <w:color w:val="auto"/>
          <w:sz w:val="26"/>
          <w:szCs w:val="26"/>
        </w:rPr>
        <w:t>5</w:t>
      </w:r>
      <w:r w:rsidRPr="000412DC">
        <w:rPr>
          <w:b/>
          <w:bCs/>
          <w:color w:val="auto"/>
          <w:sz w:val="26"/>
          <w:szCs w:val="26"/>
        </w:rPr>
        <w:t xml:space="preserve">- Adresse et délai d’envoi des dossiers de soumission : </w:t>
      </w:r>
    </w:p>
    <w:p w14:paraId="05FFF34C" w14:textId="77777777" w:rsidR="00682B80" w:rsidRDefault="00682B80" w:rsidP="00682B80">
      <w:pPr>
        <w:pStyle w:val="Default"/>
        <w:rPr>
          <w:color w:val="auto"/>
          <w:sz w:val="16"/>
          <w:szCs w:val="16"/>
        </w:rPr>
      </w:pPr>
      <w:r>
        <w:rPr>
          <w:color w:val="auto"/>
          <w:sz w:val="16"/>
          <w:szCs w:val="16"/>
        </w:rPr>
        <w:t xml:space="preserve">……………………………..……….………………………………………………………………………………………………................................................ </w:t>
      </w:r>
    </w:p>
    <w:p w14:paraId="4725570B" w14:textId="77777777" w:rsidR="00682B80" w:rsidRDefault="00682B80" w:rsidP="00606D5F">
      <w:pPr>
        <w:pStyle w:val="Default"/>
        <w:jc w:val="both"/>
        <w:rPr>
          <w:color w:val="auto"/>
          <w:sz w:val="16"/>
          <w:szCs w:val="16"/>
        </w:rPr>
      </w:pPr>
    </w:p>
    <w:p w14:paraId="251A3BA3" w14:textId="1A6E90D4" w:rsidR="00112F32" w:rsidRPr="00F72237" w:rsidRDefault="00112F32" w:rsidP="00112F32">
      <w:pPr>
        <w:spacing w:before="100" w:after="100" w:line="360" w:lineRule="auto"/>
        <w:jc w:val="both"/>
        <w:rPr>
          <w:rFonts w:ascii="Times New Roman" w:hAnsi="Times New Roman" w:cs="Times New Roman"/>
          <w:bCs/>
          <w:sz w:val="24"/>
          <w:szCs w:val="24"/>
        </w:rPr>
      </w:pPr>
      <w:r w:rsidRPr="00F72237">
        <w:rPr>
          <w:rFonts w:ascii="Times New Roman" w:hAnsi="Times New Roman" w:cs="Times New Roman"/>
          <w:bCs/>
          <w:sz w:val="24"/>
          <w:szCs w:val="24"/>
        </w:rPr>
        <w:t xml:space="preserve">Les consultants(es) intéressés(es) sont priés(es) </w:t>
      </w:r>
      <w:r w:rsidR="00D40904" w:rsidRPr="00F72237">
        <w:rPr>
          <w:rFonts w:ascii="Times New Roman" w:hAnsi="Times New Roman" w:cs="Times New Roman"/>
          <w:bCs/>
          <w:sz w:val="24"/>
          <w:szCs w:val="24"/>
        </w:rPr>
        <w:t xml:space="preserve">d’envoyer </w:t>
      </w:r>
      <w:r w:rsidR="00D40904" w:rsidRPr="00D40904">
        <w:rPr>
          <w:rFonts w:ascii="Times New Roman" w:hAnsi="Times New Roman" w:cs="Times New Roman"/>
          <w:b/>
          <w:sz w:val="24"/>
          <w:szCs w:val="24"/>
        </w:rPr>
        <w:t>2 Email séparé</w:t>
      </w:r>
      <w:r w:rsidR="00D40904">
        <w:rPr>
          <w:rFonts w:ascii="Times New Roman" w:hAnsi="Times New Roman" w:cs="Times New Roman"/>
          <w:b/>
          <w:sz w:val="24"/>
          <w:szCs w:val="24"/>
        </w:rPr>
        <w:t>s</w:t>
      </w:r>
      <w:r w:rsidR="00D40904">
        <w:rPr>
          <w:rFonts w:ascii="Times New Roman" w:hAnsi="Times New Roman" w:cs="Times New Roman"/>
          <w:bCs/>
          <w:sz w:val="24"/>
          <w:szCs w:val="24"/>
        </w:rPr>
        <w:t xml:space="preserve">, avec la </w:t>
      </w:r>
      <w:r w:rsidR="00DC5FBF">
        <w:rPr>
          <w:rFonts w:ascii="Times New Roman" w:hAnsi="Times New Roman" w:cs="Times New Roman"/>
          <w:bCs/>
          <w:sz w:val="24"/>
          <w:szCs w:val="24"/>
        </w:rPr>
        <w:t>mention</w:t>
      </w:r>
      <w:r w:rsidR="00DC5FBF" w:rsidRPr="00F72237">
        <w:rPr>
          <w:rFonts w:ascii="Times New Roman" w:hAnsi="Times New Roman" w:cs="Times New Roman"/>
          <w:bCs/>
          <w:sz w:val="24"/>
          <w:szCs w:val="24"/>
        </w:rPr>
        <w:t xml:space="preserve"> :</w:t>
      </w:r>
      <w:r w:rsidRPr="00F72237">
        <w:rPr>
          <w:rFonts w:ascii="Times New Roman" w:hAnsi="Times New Roman" w:cs="Times New Roman"/>
          <w:bCs/>
          <w:sz w:val="24"/>
          <w:szCs w:val="24"/>
        </w:rPr>
        <w:t xml:space="preserve"> </w:t>
      </w:r>
    </w:p>
    <w:p w14:paraId="13985923" w14:textId="01E438D1" w:rsidR="00112F32" w:rsidRPr="00F25310" w:rsidRDefault="00D40904" w:rsidP="00112F32">
      <w:pPr>
        <w:pStyle w:val="ListParagraph"/>
        <w:numPr>
          <w:ilvl w:val="0"/>
          <w:numId w:val="27"/>
        </w:numPr>
        <w:spacing w:before="100" w:after="100"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Pour l’offre technique : </w:t>
      </w:r>
      <w:r w:rsidR="00112F32" w:rsidRPr="00F25310">
        <w:rPr>
          <w:rFonts w:ascii="Times New Roman" w:hAnsi="Times New Roman" w:cs="Times New Roman"/>
          <w:b/>
          <w:sz w:val="24"/>
          <w:szCs w:val="24"/>
        </w:rPr>
        <w:t>UNFPA</w:t>
      </w:r>
      <w:r>
        <w:rPr>
          <w:rFonts w:ascii="Times New Roman" w:hAnsi="Times New Roman" w:cs="Times New Roman"/>
          <w:b/>
          <w:sz w:val="24"/>
          <w:szCs w:val="24"/>
        </w:rPr>
        <w:t>--</w:t>
      </w:r>
      <w:r w:rsidR="00112F32" w:rsidRPr="00F25310">
        <w:rPr>
          <w:rFonts w:ascii="Times New Roman" w:hAnsi="Times New Roman" w:cs="Times New Roman"/>
          <w:b/>
          <w:sz w:val="24"/>
          <w:szCs w:val="24"/>
        </w:rPr>
        <w:t xml:space="preserve">Evaluation du cadre juridique </w:t>
      </w:r>
      <w:r>
        <w:rPr>
          <w:rFonts w:ascii="Times New Roman" w:hAnsi="Times New Roman" w:cs="Times New Roman"/>
          <w:b/>
          <w:sz w:val="24"/>
          <w:szCs w:val="24"/>
        </w:rPr>
        <w:t>-offre technique</w:t>
      </w:r>
      <w:r w:rsidR="00112F32" w:rsidRPr="00F25310">
        <w:rPr>
          <w:rFonts w:ascii="Times New Roman" w:hAnsi="Times New Roman" w:cs="Times New Roman"/>
          <w:b/>
          <w:sz w:val="24"/>
          <w:szCs w:val="24"/>
        </w:rPr>
        <w:t xml:space="preserve">. </w:t>
      </w:r>
    </w:p>
    <w:p w14:paraId="03A45043" w14:textId="70C3A479" w:rsidR="00112F32" w:rsidRPr="00F25310" w:rsidRDefault="00D40904" w:rsidP="00F25310">
      <w:pPr>
        <w:pStyle w:val="ListParagraph"/>
        <w:numPr>
          <w:ilvl w:val="0"/>
          <w:numId w:val="27"/>
        </w:numPr>
        <w:spacing w:before="100" w:after="100" w:line="360" w:lineRule="auto"/>
        <w:jc w:val="both"/>
        <w:rPr>
          <w:rFonts w:ascii="Times New Roman" w:hAnsi="Times New Roman" w:cs="Times New Roman"/>
          <w:bCs/>
          <w:sz w:val="24"/>
          <w:szCs w:val="24"/>
        </w:rPr>
      </w:pPr>
      <w:r w:rsidRPr="00D40904">
        <w:rPr>
          <w:rFonts w:ascii="Times New Roman" w:hAnsi="Times New Roman" w:cs="Times New Roman"/>
          <w:b/>
          <w:sz w:val="24"/>
          <w:szCs w:val="24"/>
        </w:rPr>
        <w:t>Pour l’</w:t>
      </w:r>
      <w:r w:rsidR="00112F32" w:rsidRPr="00D40904">
        <w:rPr>
          <w:rFonts w:ascii="Times New Roman" w:hAnsi="Times New Roman" w:cs="Times New Roman"/>
          <w:b/>
          <w:sz w:val="24"/>
          <w:szCs w:val="24"/>
        </w:rPr>
        <w:t>offre financière</w:t>
      </w:r>
      <w:r w:rsidRPr="00D40904">
        <w:rPr>
          <w:rFonts w:ascii="Times New Roman" w:hAnsi="Times New Roman" w:cs="Times New Roman"/>
          <w:b/>
          <w:sz w:val="24"/>
          <w:szCs w:val="24"/>
        </w:rPr>
        <w:t> :</w:t>
      </w:r>
      <w:r>
        <w:rPr>
          <w:rFonts w:ascii="Times New Roman" w:hAnsi="Times New Roman" w:cs="Times New Roman"/>
          <w:bCs/>
          <w:sz w:val="24"/>
          <w:szCs w:val="24"/>
        </w:rPr>
        <w:t xml:space="preserve"> </w:t>
      </w:r>
      <w:r w:rsidR="00112F32" w:rsidRPr="00F25310">
        <w:rPr>
          <w:rFonts w:ascii="Times New Roman" w:hAnsi="Times New Roman" w:cs="Times New Roman"/>
          <w:b/>
          <w:sz w:val="24"/>
          <w:szCs w:val="24"/>
        </w:rPr>
        <w:t>UNFPA </w:t>
      </w:r>
      <w:r>
        <w:rPr>
          <w:rFonts w:ascii="Times New Roman" w:hAnsi="Times New Roman" w:cs="Times New Roman"/>
          <w:b/>
          <w:sz w:val="24"/>
          <w:szCs w:val="24"/>
        </w:rPr>
        <w:t>-</w:t>
      </w:r>
      <w:r w:rsidR="00112F32" w:rsidRPr="00F25310">
        <w:rPr>
          <w:rFonts w:ascii="Times New Roman" w:hAnsi="Times New Roman" w:cs="Times New Roman"/>
          <w:b/>
          <w:sz w:val="24"/>
          <w:szCs w:val="24"/>
        </w:rPr>
        <w:t xml:space="preserve">Evaluation du cadre juridique </w:t>
      </w:r>
      <w:r>
        <w:rPr>
          <w:rFonts w:ascii="Times New Roman" w:hAnsi="Times New Roman" w:cs="Times New Roman"/>
          <w:b/>
          <w:sz w:val="24"/>
          <w:szCs w:val="24"/>
        </w:rPr>
        <w:t>-offre financière.</w:t>
      </w:r>
    </w:p>
    <w:p w14:paraId="7CFBF61B" w14:textId="77777777" w:rsidR="00112F32" w:rsidRDefault="00112F32" w:rsidP="00112F32">
      <w:pPr>
        <w:spacing w:before="100" w:after="100" w:line="360" w:lineRule="auto"/>
        <w:jc w:val="both"/>
        <w:rPr>
          <w:rFonts w:ascii="Times New Roman" w:hAnsi="Times New Roman" w:cs="Times New Roman"/>
          <w:bCs/>
          <w:sz w:val="24"/>
          <w:szCs w:val="24"/>
        </w:rPr>
      </w:pPr>
    </w:p>
    <w:p w14:paraId="67E59F64" w14:textId="7768398F" w:rsidR="00112F32" w:rsidRPr="00D40904" w:rsidRDefault="00F72237" w:rsidP="00D40904">
      <w:pPr>
        <w:spacing w:before="52"/>
        <w:ind w:left="101"/>
        <w:rPr>
          <w:rFonts w:eastAsia="Calibri" w:cs="Calibri"/>
          <w:b/>
          <w:bCs/>
          <w:sz w:val="24"/>
          <w:szCs w:val="24"/>
        </w:rPr>
      </w:pPr>
      <w:r w:rsidRPr="006804E9">
        <w:rPr>
          <w:rFonts w:ascii="Times New Roman" w:hAnsi="Times New Roman" w:cs="Times New Roman"/>
          <w:bCs/>
          <w:sz w:val="24"/>
          <w:szCs w:val="24"/>
        </w:rPr>
        <w:t>À</w:t>
      </w:r>
      <w:r w:rsidR="00112F32" w:rsidRPr="006804E9">
        <w:rPr>
          <w:rFonts w:ascii="Times New Roman" w:hAnsi="Times New Roman" w:cs="Times New Roman"/>
          <w:bCs/>
          <w:sz w:val="24"/>
          <w:szCs w:val="24"/>
        </w:rPr>
        <w:t xml:space="preserve"> l’adresse </w:t>
      </w:r>
      <w:r w:rsidR="00D40904">
        <w:rPr>
          <w:rFonts w:ascii="Times New Roman" w:hAnsi="Times New Roman" w:cs="Times New Roman"/>
          <w:bCs/>
          <w:sz w:val="24"/>
          <w:szCs w:val="24"/>
        </w:rPr>
        <w:t xml:space="preserve">Email </w:t>
      </w:r>
      <w:r w:rsidR="00112F32" w:rsidRPr="006804E9">
        <w:rPr>
          <w:rFonts w:ascii="Times New Roman" w:hAnsi="Times New Roman" w:cs="Times New Roman"/>
          <w:bCs/>
          <w:sz w:val="24"/>
          <w:szCs w:val="24"/>
        </w:rPr>
        <w:t xml:space="preserve">suivante : </w:t>
      </w:r>
      <w:r w:rsidR="00D40904">
        <w:rPr>
          <w:rFonts w:eastAsia="Calibri" w:cs="Calibri"/>
          <w:b/>
          <w:bCs/>
          <w:sz w:val="24"/>
          <w:szCs w:val="24"/>
        </w:rPr>
        <w:t xml:space="preserve"> </w:t>
      </w:r>
      <w:hyperlink r:id="rId10" w:history="1">
        <w:r w:rsidR="00D40904" w:rsidRPr="00F65C48">
          <w:rPr>
            <w:rStyle w:val="Hyperlink"/>
            <w:rFonts w:eastAsia="Calibri" w:cs="Calibri"/>
            <w:b/>
            <w:bCs/>
            <w:sz w:val="24"/>
            <w:szCs w:val="24"/>
          </w:rPr>
          <w:t>hr@unfpa.org</w:t>
        </w:r>
      </w:hyperlink>
      <w:r w:rsidR="00D40904">
        <w:rPr>
          <w:rFonts w:eastAsia="Calibri" w:cs="Calibri"/>
          <w:b/>
          <w:bCs/>
          <w:sz w:val="24"/>
          <w:szCs w:val="24"/>
        </w:rPr>
        <w:t xml:space="preserve"> </w:t>
      </w:r>
      <w:r w:rsidR="00112F32" w:rsidRPr="006804E9">
        <w:rPr>
          <w:rFonts w:ascii="Times New Roman" w:hAnsi="Times New Roman" w:cs="Times New Roman"/>
          <w:bCs/>
          <w:sz w:val="24"/>
          <w:szCs w:val="24"/>
        </w:rPr>
        <w:t>Et ce au plus tard l</w:t>
      </w:r>
      <w:r w:rsidR="00112F32">
        <w:rPr>
          <w:rFonts w:ascii="Times New Roman" w:hAnsi="Times New Roman" w:cs="Times New Roman"/>
          <w:bCs/>
          <w:sz w:val="24"/>
          <w:szCs w:val="24"/>
        </w:rPr>
        <w:t xml:space="preserve">e </w:t>
      </w:r>
      <w:r w:rsidR="00F1064C" w:rsidRPr="00F1064C">
        <w:rPr>
          <w:rFonts w:ascii="Times New Roman" w:hAnsi="Times New Roman" w:cs="Times New Roman"/>
          <w:b/>
          <w:sz w:val="24"/>
          <w:szCs w:val="24"/>
        </w:rPr>
        <w:t>Dimanche 28</w:t>
      </w:r>
      <w:r w:rsidR="00D40904">
        <w:rPr>
          <w:rFonts w:ascii="Times New Roman" w:hAnsi="Times New Roman" w:cs="Times New Roman"/>
          <w:bCs/>
          <w:sz w:val="24"/>
          <w:szCs w:val="24"/>
        </w:rPr>
        <w:t xml:space="preserve"> </w:t>
      </w:r>
      <w:r w:rsidR="008031C6">
        <w:rPr>
          <w:rFonts w:ascii="Times New Roman" w:hAnsi="Times New Roman" w:cs="Times New Roman"/>
          <w:b/>
          <w:sz w:val="24"/>
          <w:szCs w:val="24"/>
        </w:rPr>
        <w:t>Juillet</w:t>
      </w:r>
      <w:r w:rsidR="00112F32" w:rsidRPr="00F60A2D">
        <w:rPr>
          <w:rFonts w:ascii="Times New Roman" w:hAnsi="Times New Roman" w:cs="Times New Roman"/>
          <w:b/>
          <w:sz w:val="24"/>
          <w:szCs w:val="24"/>
        </w:rPr>
        <w:t xml:space="preserve"> 202</w:t>
      </w:r>
      <w:r w:rsidR="00112F32">
        <w:rPr>
          <w:rFonts w:ascii="Times New Roman" w:hAnsi="Times New Roman" w:cs="Times New Roman"/>
          <w:b/>
          <w:sz w:val="24"/>
          <w:szCs w:val="24"/>
        </w:rPr>
        <w:t>4</w:t>
      </w:r>
      <w:r w:rsidR="00D40904">
        <w:rPr>
          <w:rFonts w:ascii="Times New Roman" w:hAnsi="Times New Roman" w:cs="Times New Roman"/>
          <w:bCs/>
          <w:sz w:val="24"/>
          <w:szCs w:val="24"/>
        </w:rPr>
        <w:t>.</w:t>
      </w:r>
    </w:p>
    <w:p w14:paraId="0DBCEFEE" w14:textId="77777777" w:rsidR="00182C1A" w:rsidRDefault="00182C1A" w:rsidP="00606D5F">
      <w:pPr>
        <w:pStyle w:val="Default"/>
        <w:jc w:val="both"/>
        <w:rPr>
          <w:sz w:val="23"/>
          <w:szCs w:val="23"/>
        </w:rPr>
      </w:pPr>
    </w:p>
    <w:p w14:paraId="244D43F8" w14:textId="3092F75C" w:rsidR="000412DC" w:rsidRDefault="000412DC" w:rsidP="00606D5F">
      <w:pPr>
        <w:pStyle w:val="Default"/>
        <w:jc w:val="both"/>
        <w:rPr>
          <w:b/>
          <w:bCs/>
          <w:color w:val="auto"/>
          <w:sz w:val="26"/>
          <w:szCs w:val="26"/>
        </w:rPr>
      </w:pPr>
      <w:r>
        <w:rPr>
          <w:sz w:val="23"/>
          <w:szCs w:val="23"/>
        </w:rPr>
        <w:t xml:space="preserve">Les soumissions reçues par UNFPA postérieurement à la date-limite indiquée ci-dessus, pour quelque raison que ce soit, ne </w:t>
      </w:r>
      <w:r w:rsidRPr="000239C9">
        <w:rPr>
          <w:b/>
          <w:bCs/>
          <w:sz w:val="23"/>
          <w:szCs w:val="23"/>
        </w:rPr>
        <w:t>seront pas prises en compte</w:t>
      </w:r>
      <w:r w:rsidRPr="000412DC">
        <w:rPr>
          <w:b/>
          <w:bCs/>
          <w:color w:val="auto"/>
          <w:sz w:val="26"/>
          <w:szCs w:val="26"/>
        </w:rPr>
        <w:t>.</w:t>
      </w:r>
    </w:p>
    <w:p w14:paraId="5CA7F658" w14:textId="77777777" w:rsidR="00112F32" w:rsidRDefault="00112F32" w:rsidP="00606D5F">
      <w:pPr>
        <w:pStyle w:val="Default"/>
        <w:jc w:val="both"/>
        <w:rPr>
          <w:b/>
          <w:bCs/>
          <w:color w:val="auto"/>
          <w:sz w:val="26"/>
          <w:szCs w:val="26"/>
        </w:rPr>
      </w:pPr>
    </w:p>
    <w:p w14:paraId="0B7D8CF2" w14:textId="77777777" w:rsidR="00634AA1" w:rsidRPr="00B643ED" w:rsidRDefault="00634AA1" w:rsidP="00634AA1">
      <w:pPr>
        <w:pStyle w:val="Default"/>
        <w:jc w:val="both"/>
        <w:rPr>
          <w:b/>
          <w:bCs/>
          <w:color w:val="auto"/>
          <w:sz w:val="23"/>
          <w:szCs w:val="23"/>
        </w:rPr>
      </w:pPr>
      <w:r w:rsidRPr="00B643ED">
        <w:rPr>
          <w:b/>
          <w:bCs/>
          <w:color w:val="auto"/>
          <w:sz w:val="23"/>
          <w:szCs w:val="23"/>
        </w:rPr>
        <w:t>La présente consultation est ouverte exclusivement aux consultant.es</w:t>
      </w:r>
    </w:p>
    <w:p w14:paraId="6A94D051" w14:textId="77777777" w:rsidR="00634AA1" w:rsidRPr="00B643ED" w:rsidRDefault="00634AA1" w:rsidP="00634AA1">
      <w:pPr>
        <w:pStyle w:val="Default"/>
        <w:jc w:val="both"/>
        <w:rPr>
          <w:b/>
          <w:bCs/>
          <w:color w:val="auto"/>
          <w:sz w:val="23"/>
          <w:szCs w:val="23"/>
        </w:rPr>
      </w:pPr>
      <w:proofErr w:type="spellStart"/>
      <w:r w:rsidRPr="00B643ED">
        <w:rPr>
          <w:b/>
          <w:bCs/>
          <w:color w:val="auto"/>
          <w:sz w:val="23"/>
          <w:szCs w:val="23"/>
        </w:rPr>
        <w:t>individuel.les</w:t>
      </w:r>
      <w:proofErr w:type="spellEnd"/>
      <w:r w:rsidRPr="00B643ED">
        <w:rPr>
          <w:b/>
          <w:bCs/>
          <w:color w:val="auto"/>
          <w:sz w:val="23"/>
          <w:szCs w:val="23"/>
        </w:rPr>
        <w:t>, toute soumission au nom d’une société/bureau d’études ne sera pas considérée.</w:t>
      </w:r>
    </w:p>
    <w:p w14:paraId="483198D6" w14:textId="77777777" w:rsidR="00112F32" w:rsidRPr="000412DC" w:rsidRDefault="00112F32" w:rsidP="00606D5F">
      <w:pPr>
        <w:pStyle w:val="Default"/>
        <w:jc w:val="both"/>
        <w:rPr>
          <w:b/>
          <w:bCs/>
          <w:color w:val="auto"/>
          <w:sz w:val="26"/>
          <w:szCs w:val="26"/>
        </w:rPr>
      </w:pPr>
    </w:p>
    <w:sectPr w:rsidR="00112F32" w:rsidRPr="000412DC" w:rsidSect="00127698">
      <w:footerReference w:type="default" r:id="rId11"/>
      <w:pgSz w:w="11906" w:h="16838"/>
      <w:pgMar w:top="1417" w:right="1417" w:bottom="1417" w:left="1417"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AE5DF" w14:textId="77777777" w:rsidR="00400B61" w:rsidRDefault="00400B61" w:rsidP="009E2506">
      <w:pPr>
        <w:spacing w:after="0" w:line="240" w:lineRule="auto"/>
      </w:pPr>
      <w:r>
        <w:separator/>
      </w:r>
    </w:p>
  </w:endnote>
  <w:endnote w:type="continuationSeparator" w:id="0">
    <w:p w14:paraId="150DF692" w14:textId="77777777" w:rsidR="00400B61" w:rsidRDefault="00400B61" w:rsidP="009E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20630"/>
      <w:docPartObj>
        <w:docPartGallery w:val="Page Numbers (Bottom of Page)"/>
        <w:docPartUnique/>
      </w:docPartObj>
    </w:sdtPr>
    <w:sdtContent>
      <w:p w14:paraId="2ED83039" w14:textId="3DADF12B" w:rsidR="00476F46" w:rsidRDefault="00F74426">
        <w:pPr>
          <w:pStyle w:val="Footer"/>
          <w:jc w:val="center"/>
        </w:pPr>
        <w:r>
          <w:fldChar w:fldCharType="begin"/>
        </w:r>
        <w:r>
          <w:instrText xml:space="preserve"> PAGE   \* MERGEFORMAT </w:instrText>
        </w:r>
        <w:r>
          <w:fldChar w:fldCharType="separate"/>
        </w:r>
        <w:r w:rsidR="00B85687">
          <w:rPr>
            <w:noProof/>
          </w:rPr>
          <w:t>7</w:t>
        </w:r>
        <w:r>
          <w:rPr>
            <w:noProof/>
          </w:rPr>
          <w:fldChar w:fldCharType="end"/>
        </w:r>
      </w:p>
    </w:sdtContent>
  </w:sdt>
  <w:p w14:paraId="36BECE41" w14:textId="77777777" w:rsidR="00476F46" w:rsidRDefault="00476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AB096" w14:textId="77777777" w:rsidR="00400B61" w:rsidRDefault="00400B61" w:rsidP="009E2506">
      <w:pPr>
        <w:spacing w:after="0" w:line="240" w:lineRule="auto"/>
      </w:pPr>
      <w:r>
        <w:separator/>
      </w:r>
    </w:p>
  </w:footnote>
  <w:footnote w:type="continuationSeparator" w:id="0">
    <w:p w14:paraId="76F74EF7" w14:textId="77777777" w:rsidR="00400B61" w:rsidRDefault="00400B61" w:rsidP="009E2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8pt;height:13.8pt" o:bullet="t">
        <v:imagedata r:id="rId1" o:title="msoA3EB"/>
      </v:shape>
    </w:pict>
  </w:numPicBullet>
  <w:abstractNum w:abstractNumId="0" w15:restartNumberingAfterBreak="0">
    <w:nsid w:val="831D05F2"/>
    <w:multiLevelType w:val="hybridMultilevel"/>
    <w:tmpl w:val="1B3CDD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5A7FC"/>
    <w:multiLevelType w:val="hybridMultilevel"/>
    <w:tmpl w:val="6E718D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823AB7"/>
    <w:multiLevelType w:val="hybridMultilevel"/>
    <w:tmpl w:val="6EE383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447E8C"/>
    <w:multiLevelType w:val="hybridMultilevel"/>
    <w:tmpl w:val="BB27BD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540F39"/>
    <w:multiLevelType w:val="hybridMultilevel"/>
    <w:tmpl w:val="D03CB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90E1C"/>
    <w:multiLevelType w:val="hybridMultilevel"/>
    <w:tmpl w:val="E35ECB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9FF91B"/>
    <w:multiLevelType w:val="hybridMultilevel"/>
    <w:tmpl w:val="383A82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A90453"/>
    <w:multiLevelType w:val="hybridMultilevel"/>
    <w:tmpl w:val="08829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A870B8"/>
    <w:multiLevelType w:val="hybridMultilevel"/>
    <w:tmpl w:val="3CF4BF4A"/>
    <w:lvl w:ilvl="0" w:tplc="1CD4431C">
      <w:start w:val="1"/>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9" w15:restartNumberingAfterBreak="0">
    <w:nsid w:val="07C8277D"/>
    <w:multiLevelType w:val="hybridMultilevel"/>
    <w:tmpl w:val="221628C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08FA0271"/>
    <w:multiLevelType w:val="hybridMultilevel"/>
    <w:tmpl w:val="D660C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381423"/>
    <w:multiLevelType w:val="hybridMultilevel"/>
    <w:tmpl w:val="6F64A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7713D3"/>
    <w:multiLevelType w:val="hybridMultilevel"/>
    <w:tmpl w:val="D3B8D044"/>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3" w15:restartNumberingAfterBreak="0">
    <w:nsid w:val="173D2FE9"/>
    <w:multiLevelType w:val="hybridMultilevel"/>
    <w:tmpl w:val="ADAAD7CC"/>
    <w:lvl w:ilvl="0" w:tplc="59B4E0A4">
      <w:start w:val="38"/>
      <w:numFmt w:val="bullet"/>
      <w:lvlText w:val="-"/>
      <w:lvlJc w:val="left"/>
      <w:pPr>
        <w:ind w:left="720" w:hanging="360"/>
      </w:pPr>
      <w:rPr>
        <w:rFonts w:ascii="Georgia" w:eastAsiaTheme="minorHAnsi"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1D5BB9"/>
    <w:multiLevelType w:val="hybridMultilevel"/>
    <w:tmpl w:val="38F43E4E"/>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4227A6"/>
    <w:multiLevelType w:val="hybridMultilevel"/>
    <w:tmpl w:val="48F8DAC6"/>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164983"/>
    <w:multiLevelType w:val="hybridMultilevel"/>
    <w:tmpl w:val="E7E83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C524E6"/>
    <w:multiLevelType w:val="hybridMultilevel"/>
    <w:tmpl w:val="492A38DE"/>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A02760"/>
    <w:multiLevelType w:val="hybridMultilevel"/>
    <w:tmpl w:val="8CA058EA"/>
    <w:lvl w:ilvl="0" w:tplc="1CD4431C">
      <w:start w:val="1"/>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9" w15:restartNumberingAfterBreak="0">
    <w:nsid w:val="502FD1D0"/>
    <w:multiLevelType w:val="hybridMultilevel"/>
    <w:tmpl w:val="5AB9F1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6C88E1"/>
    <w:multiLevelType w:val="hybridMultilevel"/>
    <w:tmpl w:val="AF4C0C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6912DD"/>
    <w:multiLevelType w:val="hybridMultilevel"/>
    <w:tmpl w:val="BBB8F0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5DC76C9"/>
    <w:multiLevelType w:val="hybridMultilevel"/>
    <w:tmpl w:val="B002DB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8D464B6"/>
    <w:multiLevelType w:val="hybridMultilevel"/>
    <w:tmpl w:val="DB7E0F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D2C7B2F"/>
    <w:multiLevelType w:val="hybridMultilevel"/>
    <w:tmpl w:val="30709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8D0F2E"/>
    <w:multiLevelType w:val="hybridMultilevel"/>
    <w:tmpl w:val="FB9C52A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E614185"/>
    <w:multiLevelType w:val="hybridMultilevel"/>
    <w:tmpl w:val="8F809F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B52905"/>
    <w:multiLevelType w:val="hybridMultilevel"/>
    <w:tmpl w:val="D954EA68"/>
    <w:lvl w:ilvl="0" w:tplc="040C000D">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16cid:durableId="2031640617">
    <w:abstractNumId w:val="1"/>
  </w:num>
  <w:num w:numId="2" w16cid:durableId="378667350">
    <w:abstractNumId w:val="4"/>
  </w:num>
  <w:num w:numId="3" w16cid:durableId="241305291">
    <w:abstractNumId w:val="0"/>
  </w:num>
  <w:num w:numId="4" w16cid:durableId="41751479">
    <w:abstractNumId w:val="22"/>
  </w:num>
  <w:num w:numId="5" w16cid:durableId="1088191689">
    <w:abstractNumId w:val="21"/>
  </w:num>
  <w:num w:numId="6" w16cid:durableId="1414350241">
    <w:abstractNumId w:val="11"/>
  </w:num>
  <w:num w:numId="7" w16cid:durableId="338970191">
    <w:abstractNumId w:val="25"/>
  </w:num>
  <w:num w:numId="8" w16cid:durableId="1247959558">
    <w:abstractNumId w:val="9"/>
  </w:num>
  <w:num w:numId="9" w16cid:durableId="1997761941">
    <w:abstractNumId w:val="3"/>
  </w:num>
  <w:num w:numId="10" w16cid:durableId="81033867">
    <w:abstractNumId w:val="6"/>
  </w:num>
  <w:num w:numId="11" w16cid:durableId="107509023">
    <w:abstractNumId w:val="19"/>
  </w:num>
  <w:num w:numId="12" w16cid:durableId="1779713587">
    <w:abstractNumId w:val="20"/>
  </w:num>
  <w:num w:numId="13" w16cid:durableId="1785998645">
    <w:abstractNumId w:val="2"/>
  </w:num>
  <w:num w:numId="14" w16cid:durableId="1360399165">
    <w:abstractNumId w:val="16"/>
  </w:num>
  <w:num w:numId="15" w16cid:durableId="876553191">
    <w:abstractNumId w:val="15"/>
  </w:num>
  <w:num w:numId="16" w16cid:durableId="669217158">
    <w:abstractNumId w:val="5"/>
  </w:num>
  <w:num w:numId="17" w16cid:durableId="1532768842">
    <w:abstractNumId w:val="14"/>
  </w:num>
  <w:num w:numId="18" w16cid:durableId="881937219">
    <w:abstractNumId w:val="17"/>
  </w:num>
  <w:num w:numId="19" w16cid:durableId="15889508">
    <w:abstractNumId w:val="24"/>
  </w:num>
  <w:num w:numId="20" w16cid:durableId="1597639966">
    <w:abstractNumId w:val="27"/>
  </w:num>
  <w:num w:numId="21" w16cid:durableId="778835325">
    <w:abstractNumId w:val="13"/>
  </w:num>
  <w:num w:numId="22" w16cid:durableId="84159059">
    <w:abstractNumId w:val="7"/>
  </w:num>
  <w:num w:numId="23" w16cid:durableId="1926062892">
    <w:abstractNumId w:val="23"/>
  </w:num>
  <w:num w:numId="24" w16cid:durableId="1950433105">
    <w:abstractNumId w:val="8"/>
  </w:num>
  <w:num w:numId="25" w16cid:durableId="996765001">
    <w:abstractNumId w:val="12"/>
  </w:num>
  <w:num w:numId="26" w16cid:durableId="620452356">
    <w:abstractNumId w:val="18"/>
  </w:num>
  <w:num w:numId="27" w16cid:durableId="1565486537">
    <w:abstractNumId w:val="26"/>
  </w:num>
  <w:num w:numId="28" w16cid:durableId="279726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AC"/>
    <w:rsid w:val="000110B7"/>
    <w:rsid w:val="00017E66"/>
    <w:rsid w:val="000239C9"/>
    <w:rsid w:val="000412DC"/>
    <w:rsid w:val="00053028"/>
    <w:rsid w:val="000A060E"/>
    <w:rsid w:val="000A4F4E"/>
    <w:rsid w:val="000B0897"/>
    <w:rsid w:val="000B59A2"/>
    <w:rsid w:val="000D486A"/>
    <w:rsid w:val="000F414D"/>
    <w:rsid w:val="001069E6"/>
    <w:rsid w:val="00112F32"/>
    <w:rsid w:val="0012256E"/>
    <w:rsid w:val="00122590"/>
    <w:rsid w:val="00127698"/>
    <w:rsid w:val="00134CE4"/>
    <w:rsid w:val="00140C62"/>
    <w:rsid w:val="001535CF"/>
    <w:rsid w:val="00154D1E"/>
    <w:rsid w:val="001828B1"/>
    <w:rsid w:val="00182C1A"/>
    <w:rsid w:val="00191643"/>
    <w:rsid w:val="001F11CC"/>
    <w:rsid w:val="00210D2F"/>
    <w:rsid w:val="00212747"/>
    <w:rsid w:val="00214E83"/>
    <w:rsid w:val="00236989"/>
    <w:rsid w:val="00295FBD"/>
    <w:rsid w:val="00296654"/>
    <w:rsid w:val="002B0718"/>
    <w:rsid w:val="002E53E8"/>
    <w:rsid w:val="00321CA8"/>
    <w:rsid w:val="00346E3B"/>
    <w:rsid w:val="00355F67"/>
    <w:rsid w:val="00357029"/>
    <w:rsid w:val="00367686"/>
    <w:rsid w:val="003927CB"/>
    <w:rsid w:val="003A55D1"/>
    <w:rsid w:val="003C32FD"/>
    <w:rsid w:val="003C3609"/>
    <w:rsid w:val="003D3D64"/>
    <w:rsid w:val="003E3ABF"/>
    <w:rsid w:val="00400B61"/>
    <w:rsid w:val="00443176"/>
    <w:rsid w:val="004576B4"/>
    <w:rsid w:val="0046260B"/>
    <w:rsid w:val="00471AEA"/>
    <w:rsid w:val="00476E90"/>
    <w:rsid w:val="00476F46"/>
    <w:rsid w:val="004B35BC"/>
    <w:rsid w:val="004B53DD"/>
    <w:rsid w:val="004C174E"/>
    <w:rsid w:val="004C4FEA"/>
    <w:rsid w:val="004D1BDD"/>
    <w:rsid w:val="004D2733"/>
    <w:rsid w:val="004D3C9A"/>
    <w:rsid w:val="00512FBA"/>
    <w:rsid w:val="00546C52"/>
    <w:rsid w:val="00547395"/>
    <w:rsid w:val="005538E3"/>
    <w:rsid w:val="0055622C"/>
    <w:rsid w:val="00561481"/>
    <w:rsid w:val="0056429F"/>
    <w:rsid w:val="00573817"/>
    <w:rsid w:val="00574895"/>
    <w:rsid w:val="0059525D"/>
    <w:rsid w:val="0059614E"/>
    <w:rsid w:val="005A0BFC"/>
    <w:rsid w:val="005C581E"/>
    <w:rsid w:val="005D0DCA"/>
    <w:rsid w:val="005D7C48"/>
    <w:rsid w:val="005E075F"/>
    <w:rsid w:val="00606D5F"/>
    <w:rsid w:val="0061053C"/>
    <w:rsid w:val="006200E4"/>
    <w:rsid w:val="006222A6"/>
    <w:rsid w:val="00634AA1"/>
    <w:rsid w:val="00675D15"/>
    <w:rsid w:val="006807A5"/>
    <w:rsid w:val="00682B80"/>
    <w:rsid w:val="006840B1"/>
    <w:rsid w:val="00693D72"/>
    <w:rsid w:val="006A1E39"/>
    <w:rsid w:val="00702A0E"/>
    <w:rsid w:val="007308C3"/>
    <w:rsid w:val="00731CEA"/>
    <w:rsid w:val="00737FBD"/>
    <w:rsid w:val="007570B4"/>
    <w:rsid w:val="007709F3"/>
    <w:rsid w:val="007A099B"/>
    <w:rsid w:val="007D3D86"/>
    <w:rsid w:val="007E758D"/>
    <w:rsid w:val="007F22E1"/>
    <w:rsid w:val="008031C6"/>
    <w:rsid w:val="0081584D"/>
    <w:rsid w:val="00821991"/>
    <w:rsid w:val="008465C6"/>
    <w:rsid w:val="008649BA"/>
    <w:rsid w:val="00866773"/>
    <w:rsid w:val="00890704"/>
    <w:rsid w:val="00894AA2"/>
    <w:rsid w:val="008A0925"/>
    <w:rsid w:val="008A75A4"/>
    <w:rsid w:val="008C5B28"/>
    <w:rsid w:val="008D7BC8"/>
    <w:rsid w:val="008F43FF"/>
    <w:rsid w:val="008F60EA"/>
    <w:rsid w:val="00926A70"/>
    <w:rsid w:val="00953FAC"/>
    <w:rsid w:val="009609D0"/>
    <w:rsid w:val="00962E1E"/>
    <w:rsid w:val="00975262"/>
    <w:rsid w:val="00975835"/>
    <w:rsid w:val="0099429E"/>
    <w:rsid w:val="00995404"/>
    <w:rsid w:val="00995930"/>
    <w:rsid w:val="00996D38"/>
    <w:rsid w:val="009B018C"/>
    <w:rsid w:val="009B2973"/>
    <w:rsid w:val="009B65FA"/>
    <w:rsid w:val="009C1D99"/>
    <w:rsid w:val="009E2506"/>
    <w:rsid w:val="009E4D4A"/>
    <w:rsid w:val="00A025FE"/>
    <w:rsid w:val="00A10090"/>
    <w:rsid w:val="00A460E2"/>
    <w:rsid w:val="00A56AB6"/>
    <w:rsid w:val="00A57DAC"/>
    <w:rsid w:val="00A6674E"/>
    <w:rsid w:val="00A8287C"/>
    <w:rsid w:val="00A86D80"/>
    <w:rsid w:val="00A9425E"/>
    <w:rsid w:val="00AB0DE9"/>
    <w:rsid w:val="00AC23E6"/>
    <w:rsid w:val="00AC2609"/>
    <w:rsid w:val="00AD1547"/>
    <w:rsid w:val="00AE272C"/>
    <w:rsid w:val="00AE68F0"/>
    <w:rsid w:val="00AF1A2C"/>
    <w:rsid w:val="00AF4F6A"/>
    <w:rsid w:val="00B276E5"/>
    <w:rsid w:val="00B6115B"/>
    <w:rsid w:val="00B62B14"/>
    <w:rsid w:val="00B66399"/>
    <w:rsid w:val="00B67905"/>
    <w:rsid w:val="00B814C7"/>
    <w:rsid w:val="00B83D1A"/>
    <w:rsid w:val="00B85687"/>
    <w:rsid w:val="00B90ACF"/>
    <w:rsid w:val="00B92D5A"/>
    <w:rsid w:val="00BB4996"/>
    <w:rsid w:val="00BB5C84"/>
    <w:rsid w:val="00BC268E"/>
    <w:rsid w:val="00BC3CE0"/>
    <w:rsid w:val="00BF035F"/>
    <w:rsid w:val="00C02247"/>
    <w:rsid w:val="00C06FC4"/>
    <w:rsid w:val="00C20A83"/>
    <w:rsid w:val="00C561DC"/>
    <w:rsid w:val="00C771FD"/>
    <w:rsid w:val="00C912A7"/>
    <w:rsid w:val="00CA1B5F"/>
    <w:rsid w:val="00CA2667"/>
    <w:rsid w:val="00CA29DE"/>
    <w:rsid w:val="00CA5BA5"/>
    <w:rsid w:val="00CC2C8B"/>
    <w:rsid w:val="00CE415C"/>
    <w:rsid w:val="00CE604C"/>
    <w:rsid w:val="00CF3711"/>
    <w:rsid w:val="00CF5623"/>
    <w:rsid w:val="00CF7273"/>
    <w:rsid w:val="00D00FEA"/>
    <w:rsid w:val="00D113F0"/>
    <w:rsid w:val="00D3155E"/>
    <w:rsid w:val="00D40904"/>
    <w:rsid w:val="00D66508"/>
    <w:rsid w:val="00D72B7B"/>
    <w:rsid w:val="00D94AC1"/>
    <w:rsid w:val="00DA088B"/>
    <w:rsid w:val="00DA6ABC"/>
    <w:rsid w:val="00DA706E"/>
    <w:rsid w:val="00DA76F0"/>
    <w:rsid w:val="00DC5FBF"/>
    <w:rsid w:val="00DD4E7D"/>
    <w:rsid w:val="00DE6D0A"/>
    <w:rsid w:val="00DF759B"/>
    <w:rsid w:val="00E000EF"/>
    <w:rsid w:val="00E00560"/>
    <w:rsid w:val="00E21823"/>
    <w:rsid w:val="00E22D1B"/>
    <w:rsid w:val="00E30E75"/>
    <w:rsid w:val="00E41B76"/>
    <w:rsid w:val="00E42A1E"/>
    <w:rsid w:val="00E4353F"/>
    <w:rsid w:val="00E81263"/>
    <w:rsid w:val="00E91E0B"/>
    <w:rsid w:val="00EA1155"/>
    <w:rsid w:val="00EB7681"/>
    <w:rsid w:val="00EE4E75"/>
    <w:rsid w:val="00EF01F9"/>
    <w:rsid w:val="00F1020E"/>
    <w:rsid w:val="00F1064C"/>
    <w:rsid w:val="00F12949"/>
    <w:rsid w:val="00F25310"/>
    <w:rsid w:val="00F448FE"/>
    <w:rsid w:val="00F60437"/>
    <w:rsid w:val="00F6665B"/>
    <w:rsid w:val="00F72237"/>
    <w:rsid w:val="00F74426"/>
    <w:rsid w:val="00FA52C8"/>
    <w:rsid w:val="00FC5738"/>
    <w:rsid w:val="00FD2375"/>
    <w:rsid w:val="00FD589A"/>
    <w:rsid w:val="00FD74C7"/>
    <w:rsid w:val="00FE2FF7"/>
    <w:rsid w:val="00FF626B"/>
    <w:rsid w:val="00FF67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7F4D"/>
  <w15:docId w15:val="{0470BA81-9CDC-48F0-991A-9DB84D34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4E"/>
  </w:style>
  <w:style w:type="paragraph" w:styleId="Heading1">
    <w:name w:val="heading 1"/>
    <w:basedOn w:val="Normal"/>
    <w:next w:val="Normal"/>
    <w:link w:val="Heading1Char"/>
    <w:uiPriority w:val="9"/>
    <w:qFormat/>
    <w:rsid w:val="00821991"/>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DAC"/>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9E25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2506"/>
  </w:style>
  <w:style w:type="paragraph" w:styleId="Footer">
    <w:name w:val="footer"/>
    <w:basedOn w:val="Normal"/>
    <w:link w:val="FooterChar"/>
    <w:uiPriority w:val="99"/>
    <w:unhideWhenUsed/>
    <w:rsid w:val="009E25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2506"/>
  </w:style>
  <w:style w:type="table" w:styleId="TableGrid">
    <w:name w:val="Table Grid"/>
    <w:basedOn w:val="TableNormal"/>
    <w:uiPriority w:val="59"/>
    <w:rsid w:val="001F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2DC"/>
    <w:pPr>
      <w:ind w:left="720"/>
      <w:contextualSpacing/>
    </w:pPr>
  </w:style>
  <w:style w:type="character" w:customStyle="1" w:styleId="Heading1Char">
    <w:name w:val="Heading 1 Char"/>
    <w:basedOn w:val="DefaultParagraphFont"/>
    <w:link w:val="Heading1"/>
    <w:uiPriority w:val="9"/>
    <w:rsid w:val="00821991"/>
    <w:rPr>
      <w:rFonts w:asciiTheme="majorHAnsi" w:eastAsiaTheme="majorEastAsia" w:hAnsiTheme="majorHAnsi" w:cstheme="majorBidi"/>
      <w:color w:val="365F91" w:themeColor="accent1" w:themeShade="BF"/>
      <w:kern w:val="2"/>
      <w:sz w:val="40"/>
      <w:szCs w:val="40"/>
    </w:rPr>
  </w:style>
  <w:style w:type="paragraph" w:styleId="Revision">
    <w:name w:val="Revision"/>
    <w:hidden/>
    <w:uiPriority w:val="99"/>
    <w:semiHidden/>
    <w:rsid w:val="00191643"/>
    <w:pPr>
      <w:spacing w:after="0" w:line="240" w:lineRule="auto"/>
    </w:pPr>
  </w:style>
  <w:style w:type="character" w:styleId="CommentReference">
    <w:name w:val="annotation reference"/>
    <w:basedOn w:val="DefaultParagraphFont"/>
    <w:uiPriority w:val="99"/>
    <w:semiHidden/>
    <w:unhideWhenUsed/>
    <w:rsid w:val="00E91E0B"/>
    <w:rPr>
      <w:sz w:val="16"/>
      <w:szCs w:val="16"/>
    </w:rPr>
  </w:style>
  <w:style w:type="paragraph" w:styleId="CommentText">
    <w:name w:val="annotation text"/>
    <w:basedOn w:val="Normal"/>
    <w:link w:val="CommentTextChar"/>
    <w:uiPriority w:val="99"/>
    <w:unhideWhenUsed/>
    <w:rsid w:val="00E91E0B"/>
    <w:pPr>
      <w:spacing w:line="240" w:lineRule="auto"/>
    </w:pPr>
    <w:rPr>
      <w:sz w:val="20"/>
      <w:szCs w:val="20"/>
    </w:rPr>
  </w:style>
  <w:style w:type="character" w:customStyle="1" w:styleId="CommentTextChar">
    <w:name w:val="Comment Text Char"/>
    <w:basedOn w:val="DefaultParagraphFont"/>
    <w:link w:val="CommentText"/>
    <w:uiPriority w:val="99"/>
    <w:rsid w:val="00E91E0B"/>
    <w:rPr>
      <w:sz w:val="20"/>
      <w:szCs w:val="20"/>
    </w:rPr>
  </w:style>
  <w:style w:type="paragraph" w:styleId="CommentSubject">
    <w:name w:val="annotation subject"/>
    <w:basedOn w:val="CommentText"/>
    <w:next w:val="CommentText"/>
    <w:link w:val="CommentSubjectChar"/>
    <w:uiPriority w:val="99"/>
    <w:semiHidden/>
    <w:unhideWhenUsed/>
    <w:rsid w:val="00E91E0B"/>
    <w:rPr>
      <w:b/>
      <w:bCs/>
    </w:rPr>
  </w:style>
  <w:style w:type="character" w:customStyle="1" w:styleId="CommentSubjectChar">
    <w:name w:val="Comment Subject Char"/>
    <w:basedOn w:val="CommentTextChar"/>
    <w:link w:val="CommentSubject"/>
    <w:uiPriority w:val="99"/>
    <w:semiHidden/>
    <w:rsid w:val="00E91E0B"/>
    <w:rPr>
      <w:b/>
      <w:bCs/>
      <w:sz w:val="20"/>
      <w:szCs w:val="20"/>
    </w:rPr>
  </w:style>
  <w:style w:type="character" w:styleId="Hyperlink">
    <w:name w:val="Hyperlink"/>
    <w:basedOn w:val="DefaultParagraphFont"/>
    <w:uiPriority w:val="99"/>
    <w:unhideWhenUsed/>
    <w:rsid w:val="00112F32"/>
    <w:rPr>
      <w:color w:val="0000FF"/>
      <w:u w:val="single"/>
    </w:rPr>
  </w:style>
  <w:style w:type="character" w:customStyle="1" w:styleId="Mentionnonrsolue1">
    <w:name w:val="Mention non résolue1"/>
    <w:basedOn w:val="DefaultParagraphFont"/>
    <w:uiPriority w:val="99"/>
    <w:semiHidden/>
    <w:unhideWhenUsed/>
    <w:rsid w:val="00112F32"/>
    <w:rPr>
      <w:color w:val="605E5C"/>
      <w:shd w:val="clear" w:color="auto" w:fill="E1DFDD"/>
    </w:rPr>
  </w:style>
  <w:style w:type="paragraph" w:styleId="BalloonText">
    <w:name w:val="Balloon Text"/>
    <w:basedOn w:val="Normal"/>
    <w:link w:val="BalloonTextChar"/>
    <w:uiPriority w:val="99"/>
    <w:semiHidden/>
    <w:unhideWhenUsed/>
    <w:rsid w:val="00355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F67"/>
    <w:rPr>
      <w:rFonts w:ascii="Segoe UI" w:hAnsi="Segoe UI" w:cs="Segoe UI"/>
      <w:sz w:val="18"/>
      <w:szCs w:val="18"/>
    </w:rPr>
  </w:style>
  <w:style w:type="character" w:styleId="UnresolvedMention">
    <w:name w:val="Unresolved Mention"/>
    <w:basedOn w:val="DefaultParagraphFont"/>
    <w:uiPriority w:val="99"/>
    <w:semiHidden/>
    <w:unhideWhenUsed/>
    <w:rsid w:val="00D40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52844">
      <w:bodyDiv w:val="1"/>
      <w:marLeft w:val="0"/>
      <w:marRight w:val="0"/>
      <w:marTop w:val="0"/>
      <w:marBottom w:val="0"/>
      <w:divBdr>
        <w:top w:val="none" w:sz="0" w:space="0" w:color="auto"/>
        <w:left w:val="none" w:sz="0" w:space="0" w:color="auto"/>
        <w:bottom w:val="none" w:sz="0" w:space="0" w:color="auto"/>
        <w:right w:val="none" w:sz="0" w:space="0" w:color="auto"/>
      </w:divBdr>
    </w:div>
    <w:div w:id="833035864">
      <w:bodyDiv w:val="1"/>
      <w:marLeft w:val="0"/>
      <w:marRight w:val="0"/>
      <w:marTop w:val="0"/>
      <w:marBottom w:val="0"/>
      <w:divBdr>
        <w:top w:val="none" w:sz="0" w:space="0" w:color="auto"/>
        <w:left w:val="none" w:sz="0" w:space="0" w:color="auto"/>
        <w:bottom w:val="none" w:sz="0" w:space="0" w:color="auto"/>
        <w:right w:val="none" w:sz="0" w:space="0" w:color="auto"/>
      </w:divBdr>
    </w:div>
    <w:div w:id="997268318">
      <w:bodyDiv w:val="1"/>
      <w:marLeft w:val="0"/>
      <w:marRight w:val="0"/>
      <w:marTop w:val="0"/>
      <w:marBottom w:val="0"/>
      <w:divBdr>
        <w:top w:val="none" w:sz="0" w:space="0" w:color="auto"/>
        <w:left w:val="none" w:sz="0" w:space="0" w:color="auto"/>
        <w:bottom w:val="none" w:sz="0" w:space="0" w:color="auto"/>
        <w:right w:val="none" w:sz="0" w:space="0" w:color="auto"/>
      </w:divBdr>
      <w:divsChild>
        <w:div w:id="29302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unfpa.org"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7E8A0-3621-FE46-AF41-FB34894B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2537</Words>
  <Characters>13954</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dc:creator>
  <cp:lastModifiedBy>MOUNA</cp:lastModifiedBy>
  <cp:revision>8</cp:revision>
  <cp:lastPrinted>2024-05-31T15:13:00Z</cp:lastPrinted>
  <dcterms:created xsi:type="dcterms:W3CDTF">2024-06-28T17:03:00Z</dcterms:created>
  <dcterms:modified xsi:type="dcterms:W3CDTF">2024-07-19T12:12:00Z</dcterms:modified>
</cp:coreProperties>
</file>