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6D" w:rsidRDefault="00A7573C" w:rsidP="00750C52">
      <w:pPr>
        <w:ind w:left="1416"/>
        <w:jc w:val="right"/>
        <w:rPr>
          <w:noProof/>
          <w:lang w:eastAsia="fr-FR"/>
        </w:rPr>
      </w:pPr>
      <w:r>
        <w:rPr>
          <w:noProof/>
          <w:lang w:val="en-US"/>
        </w:rPr>
        <w:drawing>
          <wp:anchor distT="0" distB="0" distL="114300" distR="114300" simplePos="0" relativeHeight="251659264" behindDoc="0" locked="0" layoutInCell="1" allowOverlap="1">
            <wp:simplePos x="0" y="0"/>
            <wp:positionH relativeFrom="column">
              <wp:posOffset>-62230</wp:posOffset>
            </wp:positionH>
            <wp:positionV relativeFrom="paragraph">
              <wp:posOffset>-93345</wp:posOffset>
            </wp:positionV>
            <wp:extent cx="1782445" cy="668655"/>
            <wp:effectExtent l="1905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445" cy="668655"/>
                    </a:xfrm>
                    <a:prstGeom prst="rect">
                      <a:avLst/>
                    </a:prstGeom>
                    <a:noFill/>
                  </pic:spPr>
                </pic:pic>
              </a:graphicData>
            </a:graphic>
          </wp:anchor>
        </w:drawing>
      </w:r>
      <w:r>
        <w:rPr>
          <w:noProof/>
          <w:lang w:val="en-US"/>
        </w:rPr>
        <w:drawing>
          <wp:inline distT="0" distB="0" distL="0" distR="0">
            <wp:extent cx="1681887" cy="766576"/>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6984" cy="768899"/>
                    </a:xfrm>
                    <a:prstGeom prst="rect">
                      <a:avLst/>
                    </a:prstGeom>
                    <a:noFill/>
                  </pic:spPr>
                </pic:pic>
              </a:graphicData>
            </a:graphic>
          </wp:inline>
        </w:drawing>
      </w:r>
    </w:p>
    <w:p w:rsidR="00B92D50" w:rsidRDefault="00B92D50" w:rsidP="00750C52">
      <w:pPr>
        <w:ind w:left="1416"/>
        <w:jc w:val="right"/>
        <w:rPr>
          <w:noProof/>
          <w:lang w:eastAsia="fr-FR"/>
        </w:rPr>
      </w:pPr>
    </w:p>
    <w:p w:rsidR="00534A10" w:rsidRPr="0058165F" w:rsidRDefault="00534A10" w:rsidP="00750C52">
      <w:pPr>
        <w:jc w:val="center"/>
        <w:rPr>
          <w:b/>
          <w:sz w:val="24"/>
          <w:szCs w:val="24"/>
        </w:rPr>
      </w:pPr>
      <w:r w:rsidRPr="0058165F">
        <w:rPr>
          <w:b/>
          <w:sz w:val="24"/>
          <w:szCs w:val="24"/>
        </w:rPr>
        <w:t xml:space="preserve">Appel à consultation pour le recrutement d’un/e consultant (e) national (e) pour l’élaboration d’un cadre référentiel de services alignés au paquet de services essentiels pour les femmes et les filles en situation de handicap victimes de violence </w:t>
      </w:r>
      <w:r w:rsidR="00750C52">
        <w:rPr>
          <w:b/>
          <w:sz w:val="24"/>
          <w:szCs w:val="24"/>
        </w:rPr>
        <w:t xml:space="preserve">fondée sur le genre </w:t>
      </w:r>
      <w:r w:rsidRPr="0058165F">
        <w:rPr>
          <w:b/>
          <w:sz w:val="24"/>
          <w:szCs w:val="24"/>
        </w:rPr>
        <w:t>au Maroc</w:t>
      </w:r>
    </w:p>
    <w:p w:rsidR="00534A10" w:rsidRDefault="00534A10" w:rsidP="00534A10">
      <w:pPr>
        <w:jc w:val="center"/>
        <w:rPr>
          <w:b/>
          <w:sz w:val="24"/>
          <w:szCs w:val="24"/>
        </w:rPr>
      </w:pPr>
      <w:r w:rsidRPr="0058165F">
        <w:rPr>
          <w:b/>
          <w:sz w:val="24"/>
          <w:szCs w:val="24"/>
        </w:rPr>
        <w:t>TERMES DE RÉFÉRENCE</w:t>
      </w:r>
    </w:p>
    <w:p w:rsidR="00534A10" w:rsidRPr="0058165F" w:rsidRDefault="00534A10" w:rsidP="00534A10">
      <w:pPr>
        <w:rPr>
          <w:b/>
          <w:sz w:val="24"/>
          <w:szCs w:val="24"/>
        </w:rPr>
      </w:pPr>
      <w:r w:rsidRPr="00534A10">
        <w:rPr>
          <w:b/>
        </w:rPr>
        <w:t>1.</w:t>
      </w:r>
      <w:r w:rsidRPr="00534A10">
        <w:rPr>
          <w:b/>
        </w:rPr>
        <w:tab/>
      </w:r>
      <w:r w:rsidRPr="0058165F">
        <w:rPr>
          <w:b/>
          <w:sz w:val="24"/>
          <w:szCs w:val="24"/>
        </w:rPr>
        <w:t xml:space="preserve">Contexte  </w:t>
      </w:r>
    </w:p>
    <w:p w:rsidR="00534A10" w:rsidRDefault="00534A10" w:rsidP="00534A10">
      <w:pPr>
        <w:jc w:val="both"/>
      </w:pPr>
      <w:r>
        <w:t>Au niveau international, des statistiques alarmantes démontrent la vulnérabilité des Personnes en Situation de Handicap (PSH). En effet, à travers le monde, les PSH sont trois fois plus exposées à la violence physique, sexuelle et émotionnelle. Par ailleurs, on estime que 40% à 68% des jeunes femmes handicapées et entre 16% et 30% de jeunes hommes handicapés vont subir la violence sexuelle avant l’âge de 18 ans. Les femmes en situation de handicap sont encore plus vulnérables, puisqu’elles sont 10 fois plus exposées à la violence sexuelle et sont, en conséquence, plus exposées aux avortements et à la stérilisation forcée et aux infections sexuellement transmissibles.</w:t>
      </w:r>
    </w:p>
    <w:p w:rsidR="00534A10" w:rsidRDefault="00534A10" w:rsidP="00534A10">
      <w:pPr>
        <w:jc w:val="both"/>
      </w:pPr>
      <w:r>
        <w:t>Au Maroc, l’enquête nationale réalisée sur le handicap en 2014, révèle un taux national de prévalence du handicap de 6,8%, ce qui correspond à 2.264.672 personnes, dont le quart est des Personnes en Situation de Handicap Mental (PSHM). Suivant la même source, 11,1% des PSH déclarent avoir subi ou subissent des violences du fait de leur situation de Handicap. Cependant, très peu d’informations sont disponibles sur la nature et les facteurs de ces violences et les services de prévention et de prise en charge disponibles. Le manque de données sur la question du handicap concerne aussi d’autres aspects, généralement considérés tabous dans la société, en particulier la Santé Sexuelle et Reproductive (SSR) et la Violence Basée sur le Genre (VBG).</w:t>
      </w:r>
    </w:p>
    <w:p w:rsidR="00534A10" w:rsidRDefault="00534A10" w:rsidP="00770EC8">
      <w:pPr>
        <w:jc w:val="both"/>
      </w:pPr>
      <w:r>
        <w:t xml:space="preserve">Pour répondre aux besoins  en matière d’offre de  services de qualité aux PSH  dans  notamment les structures du  CNMH, et d’autres structures publiques et de la société civile concernées,  le CNMH entreprend de réaliser un état des lieux analytique des services existants qui vise à définir un cadre référentiel pour des services essentiels et de qualité adapté au contexte et à la spécificité de la population cible et ce en alignement avec les lignes directrices mondiales sur le paquet de services essentiels </w:t>
      </w:r>
      <w:r w:rsidR="00CC09D1">
        <w:rPr>
          <w:rStyle w:val="FootnoteReference"/>
        </w:rPr>
        <w:footnoteReference w:id="1"/>
      </w:r>
      <w:r>
        <w:t xml:space="preserve">(PSE).  </w:t>
      </w:r>
    </w:p>
    <w:p w:rsidR="00534A10" w:rsidRDefault="00534A10" w:rsidP="00534A10">
      <w:pPr>
        <w:jc w:val="both"/>
      </w:pPr>
      <w:r>
        <w:t xml:space="preserve">Ainsi, pour chaque service essentiel, des standards de prestations de service ont été établis, identifiant les éléments fondamentaux qui permettent une prestation de services multisectoriels, coordonnés et d’excellente qualité pour les femmes et les filles victimes de violences, en particulier. </w:t>
      </w:r>
    </w:p>
    <w:p w:rsidR="00C45D8C" w:rsidRDefault="00534A10" w:rsidP="00C45D8C">
      <w:pPr>
        <w:jc w:val="both"/>
      </w:pPr>
      <w:r>
        <w:lastRenderedPageBreak/>
        <w:t xml:space="preserve">A ce titre, </w:t>
      </w:r>
      <w:r w:rsidR="00FB2D73">
        <w:t>l’UNFPA  en partenariat avec le Centre National Mohammed VI des Handicapés (CNMH)</w:t>
      </w:r>
      <w:r>
        <w:t xml:space="preserve"> lance </w:t>
      </w:r>
      <w:r w:rsidR="0090526B" w:rsidRPr="00BF15C1">
        <w:t xml:space="preserve"> dans le cadre du </w:t>
      </w:r>
      <w:r w:rsidR="0090526B">
        <w:t>p</w:t>
      </w:r>
      <w:r w:rsidR="0090526B" w:rsidRPr="00BF15C1">
        <w:t xml:space="preserve">lan de travail annuel </w:t>
      </w:r>
      <w:r w:rsidR="0090526B">
        <w:t>2019</w:t>
      </w:r>
      <w:r w:rsidR="0090526B" w:rsidRPr="00BF15C1">
        <w:t xml:space="preserve"> une consultation</w:t>
      </w:r>
      <w:r w:rsidR="0090526B">
        <w:t xml:space="preserve"> nationale </w:t>
      </w:r>
      <w:r w:rsidR="00C45D8C">
        <w:t xml:space="preserve">pour adapter/aligner le paquet de services essentiels pour les femmes et les filles en situation de handicap (tout type de handicap confondu) victimes de violence fondée sur le genre. </w:t>
      </w:r>
    </w:p>
    <w:p w:rsidR="00FB2D73" w:rsidRDefault="00FB2D73" w:rsidP="00C45D8C">
      <w:pPr>
        <w:spacing w:after="0"/>
        <w:contextualSpacing/>
        <w:jc w:val="both"/>
      </w:pPr>
    </w:p>
    <w:p w:rsidR="00534A10" w:rsidRPr="00534A10" w:rsidRDefault="00CC09D1" w:rsidP="00534A10">
      <w:pPr>
        <w:rPr>
          <w:b/>
        </w:rPr>
      </w:pPr>
      <w:r w:rsidRPr="00534A10">
        <w:rPr>
          <w:b/>
        </w:rPr>
        <w:t>2. Objectifs</w:t>
      </w:r>
      <w:r w:rsidR="00534A10" w:rsidRPr="00534A10">
        <w:rPr>
          <w:b/>
        </w:rPr>
        <w:t xml:space="preserve">  de la consultation</w:t>
      </w:r>
    </w:p>
    <w:p w:rsidR="00534A10" w:rsidRPr="00750C52" w:rsidRDefault="00534A10" w:rsidP="00750C52">
      <w:pPr>
        <w:pStyle w:val="ListParagraph"/>
        <w:numPr>
          <w:ilvl w:val="0"/>
          <w:numId w:val="12"/>
        </w:numPr>
        <w:rPr>
          <w:b/>
        </w:rPr>
      </w:pPr>
      <w:r w:rsidRPr="00750C52">
        <w:rPr>
          <w:b/>
        </w:rPr>
        <w:t>Objectif général</w:t>
      </w:r>
    </w:p>
    <w:p w:rsidR="00534A10" w:rsidRDefault="00E715B2" w:rsidP="00534A10">
      <w:r>
        <w:t>A</w:t>
      </w:r>
      <w:r w:rsidR="00534A10">
        <w:t>méliorer</w:t>
      </w:r>
      <w:r w:rsidR="004F72D0">
        <w:t xml:space="preserve"> la disponibilité et l’accès à d</w:t>
      </w:r>
      <w:r w:rsidR="00534A10">
        <w:t xml:space="preserve">es services essentiels </w:t>
      </w:r>
      <w:r>
        <w:t xml:space="preserve">de qualité </w:t>
      </w:r>
      <w:r w:rsidR="00534A10">
        <w:t xml:space="preserve">aux femmes et filles victimes en situation de handicap victimes de violence </w:t>
      </w:r>
      <w:r w:rsidR="004B39DE">
        <w:t>fondée</w:t>
      </w:r>
      <w:r w:rsidR="00534A10">
        <w:t xml:space="preserve"> sur le genre. </w:t>
      </w:r>
    </w:p>
    <w:p w:rsidR="00534A10" w:rsidRPr="00750C52" w:rsidRDefault="00534A10" w:rsidP="00750C52">
      <w:pPr>
        <w:pStyle w:val="ListParagraph"/>
        <w:numPr>
          <w:ilvl w:val="0"/>
          <w:numId w:val="12"/>
        </w:numPr>
        <w:rPr>
          <w:b/>
        </w:rPr>
      </w:pPr>
      <w:r w:rsidRPr="00750C52">
        <w:rPr>
          <w:b/>
        </w:rPr>
        <w:t>Objectifs spécifiques</w:t>
      </w:r>
    </w:p>
    <w:p w:rsidR="00E715B2" w:rsidRDefault="00534A10" w:rsidP="00750C52">
      <w:pPr>
        <w:pStyle w:val="ListParagraph"/>
        <w:numPr>
          <w:ilvl w:val="0"/>
          <w:numId w:val="13"/>
        </w:numPr>
        <w:jc w:val="both"/>
      </w:pPr>
      <w:r>
        <w:t xml:space="preserve">Etablir un diagnostic analytique des services disponibles et fournis aux </w:t>
      </w:r>
      <w:r w:rsidR="004F72D0">
        <w:t>femmes/filles en situation d’handicap</w:t>
      </w:r>
      <w:r w:rsidR="00721FDF">
        <w:t xml:space="preserve"> </w:t>
      </w:r>
      <w:r w:rsidR="004F72D0">
        <w:t>victimes de</w:t>
      </w:r>
      <w:r>
        <w:t xml:space="preserve"> violence fondée sur le genre, notamment dans les structures propres aux CNMH et dans les structures d’autres institutions publiques </w:t>
      </w:r>
      <w:r w:rsidR="004F72D0" w:rsidRPr="004F72D0">
        <w:t>et de la société civile</w:t>
      </w:r>
      <w:r w:rsidR="004F72D0">
        <w:t>, impliquées dans la chaine de prise en charge</w:t>
      </w:r>
      <w:r w:rsidR="004B39DE">
        <w:t>.</w:t>
      </w:r>
    </w:p>
    <w:p w:rsidR="00534A10" w:rsidRDefault="00E715B2" w:rsidP="00750C52">
      <w:pPr>
        <w:pStyle w:val="ListParagraph"/>
        <w:numPr>
          <w:ilvl w:val="0"/>
          <w:numId w:val="13"/>
        </w:numPr>
        <w:jc w:val="both"/>
      </w:pPr>
      <w:r>
        <w:t xml:space="preserve">Elaborer un cadre /contenu référentiel des services essentiels </w:t>
      </w:r>
      <w:r w:rsidR="0058165F">
        <w:t>avec un focus sur les</w:t>
      </w:r>
      <w:r>
        <w:t xml:space="preserve"> femmes/filles en situation d’handicap victimes de violence</w:t>
      </w:r>
      <w:r w:rsidR="00721FDF">
        <w:t xml:space="preserve"> </w:t>
      </w:r>
      <w:r w:rsidR="004B39DE" w:rsidRPr="004B39DE">
        <w:t>fondée sur le genre.</w:t>
      </w:r>
    </w:p>
    <w:p w:rsidR="00534A10" w:rsidRPr="00534A10" w:rsidRDefault="00534A10" w:rsidP="00534A10">
      <w:pPr>
        <w:rPr>
          <w:b/>
        </w:rPr>
      </w:pPr>
      <w:r w:rsidRPr="00534A10">
        <w:rPr>
          <w:b/>
        </w:rPr>
        <w:t>3. Résultat attendu de la consultation</w:t>
      </w:r>
    </w:p>
    <w:p w:rsidR="00534A10" w:rsidRDefault="00534A10" w:rsidP="0058165F">
      <w:pPr>
        <w:jc w:val="both"/>
      </w:pPr>
      <w:r>
        <w:t>Sur la base des résultats du diagnostic, un référentiel de services essentiels aligné aux lignes directrices du paquet de services essentiels adapté aux femmes et filles en situation de handicap (tout type de handicap confondu) victimes de violence est  produit.</w:t>
      </w:r>
    </w:p>
    <w:p w:rsidR="00534A10" w:rsidRPr="00534A10" w:rsidRDefault="00534A10" w:rsidP="00534A10">
      <w:pPr>
        <w:rPr>
          <w:b/>
        </w:rPr>
      </w:pPr>
      <w:r w:rsidRPr="00534A10">
        <w:rPr>
          <w:b/>
        </w:rPr>
        <w:t>4. Déroulement de la consultation</w:t>
      </w:r>
    </w:p>
    <w:p w:rsidR="00534A10" w:rsidRPr="004B39DE" w:rsidRDefault="00534A10" w:rsidP="00534A10">
      <w:pPr>
        <w:jc w:val="both"/>
        <w:rPr>
          <w:i/>
        </w:rPr>
      </w:pPr>
      <w:r w:rsidRPr="004B39DE">
        <w:rPr>
          <w:i/>
        </w:rPr>
        <w:t xml:space="preserve">Cette consultation, se déroulera selon les  </w:t>
      </w:r>
      <w:r w:rsidR="00F30BFA" w:rsidRPr="004B39DE">
        <w:rPr>
          <w:i/>
        </w:rPr>
        <w:t>phases</w:t>
      </w:r>
      <w:r w:rsidRPr="004B39DE">
        <w:rPr>
          <w:i/>
        </w:rPr>
        <w:t xml:space="preserve"> suivantes :</w:t>
      </w:r>
    </w:p>
    <w:p w:rsidR="00F30BFA" w:rsidRDefault="00F30BFA" w:rsidP="00F30BFA">
      <w:pPr>
        <w:spacing w:after="0"/>
        <w:jc w:val="both"/>
      </w:pPr>
      <w:r w:rsidRPr="00F30BFA">
        <w:rPr>
          <w:b/>
          <w:u w:val="single"/>
        </w:rPr>
        <w:t>Phase 1</w:t>
      </w:r>
      <w:r>
        <w:t xml:space="preserve"> : </w:t>
      </w:r>
    </w:p>
    <w:p w:rsidR="00534A10" w:rsidRDefault="00E715B2" w:rsidP="00F30BFA">
      <w:pPr>
        <w:spacing w:after="0"/>
        <w:jc w:val="both"/>
      </w:pPr>
      <w:r>
        <w:t>El</w:t>
      </w:r>
      <w:r w:rsidR="00534A10">
        <w:t xml:space="preserve">aboration et validation </w:t>
      </w:r>
      <w:r w:rsidR="00534A10" w:rsidRPr="00D210A6">
        <w:t>d’</w:t>
      </w:r>
      <w:r w:rsidR="00534A10" w:rsidRPr="00D210A6">
        <w:rPr>
          <w:b/>
        </w:rPr>
        <w:t>une note méthodologique</w:t>
      </w:r>
      <w:r w:rsidR="007C4201" w:rsidRPr="00D210A6">
        <w:rPr>
          <w:b/>
        </w:rPr>
        <w:t xml:space="preserve"> détaillée</w:t>
      </w:r>
      <w:r w:rsidR="007C4201" w:rsidRPr="007C4201">
        <w:t xml:space="preserve"> de la consultation, déclinant les différentes étapes à réaliser, les outils d’investigation</w:t>
      </w:r>
      <w:r w:rsidR="00473A46">
        <w:t xml:space="preserve"> et la justification de leur choix</w:t>
      </w:r>
      <w:r w:rsidR="007C4201" w:rsidRPr="007C4201">
        <w:t xml:space="preserve">, </w:t>
      </w:r>
      <w:r w:rsidR="00473A46">
        <w:t>la démarche de consultation  avec les acteurs concernés</w:t>
      </w:r>
      <w:r w:rsidR="007C4201" w:rsidRPr="007C4201">
        <w:t>, un échéancier etc</w:t>
      </w:r>
      <w:r w:rsidR="00473A46">
        <w:t>.</w:t>
      </w:r>
      <w:r w:rsidR="007C4201">
        <w:t> </w:t>
      </w:r>
    </w:p>
    <w:p w:rsidR="00F30BFA" w:rsidRDefault="00F30BFA" w:rsidP="00F30BFA">
      <w:pPr>
        <w:spacing w:after="0"/>
        <w:jc w:val="both"/>
      </w:pPr>
      <w:r w:rsidRPr="00F30BFA">
        <w:rPr>
          <w:b/>
          <w:u w:val="single"/>
        </w:rPr>
        <w:t>Phase 2</w:t>
      </w:r>
      <w:r>
        <w:t xml:space="preserve"> : </w:t>
      </w:r>
    </w:p>
    <w:p w:rsidR="00534A10" w:rsidRDefault="00534A10" w:rsidP="00F30BFA">
      <w:pPr>
        <w:spacing w:after="0"/>
        <w:jc w:val="both"/>
      </w:pPr>
      <w:r>
        <w:t xml:space="preserve">Elaboration </w:t>
      </w:r>
      <w:r w:rsidRPr="00D210A6">
        <w:rPr>
          <w:b/>
        </w:rPr>
        <w:t>d’une revue documentaire analytique</w:t>
      </w:r>
      <w:r>
        <w:t>, qui devra couvrir l’examen de toute  documentation pertinente  en relation avec l’objet de la mission</w:t>
      </w:r>
      <w:r w:rsidR="00E715B2">
        <w:t xml:space="preserve"> : </w:t>
      </w:r>
      <w:r>
        <w:t>études, rapports, politiques et stratégies, etc …) y compris le</w:t>
      </w:r>
      <w:r w:rsidR="00E715B2">
        <w:t>s</w:t>
      </w:r>
      <w:r>
        <w:t xml:space="preserve"> guide</w:t>
      </w:r>
      <w:r w:rsidR="00E715B2">
        <w:t>s</w:t>
      </w:r>
      <w:r w:rsidR="00473A46">
        <w:t xml:space="preserve"> techniques et protocoles sur </w:t>
      </w:r>
      <w:r w:rsidR="004B39DE">
        <w:t>l</w:t>
      </w:r>
      <w:r>
        <w:t xml:space="preserve">es normes et standards </w:t>
      </w:r>
      <w:r w:rsidR="00473A46">
        <w:t>sur</w:t>
      </w:r>
      <w:r>
        <w:t xml:space="preserve"> la prise en charge des femmes et des enfants victimes de violence, les documents et guides relatifs à la prise en charge des personnes </w:t>
      </w:r>
      <w:r w:rsidR="004B39DE">
        <w:t>en situation de</w:t>
      </w:r>
      <w:r>
        <w:t xml:space="preserve"> handicap (PSH)</w:t>
      </w:r>
      <w:r w:rsidR="004B39DE">
        <w:t> ;</w:t>
      </w:r>
      <w:r>
        <w:t xml:space="preserve"> et</w:t>
      </w:r>
      <w:r w:rsidR="00CD50E7">
        <w:t xml:space="preserve"> </w:t>
      </w:r>
      <w:r w:rsidR="004B39DE">
        <w:t xml:space="preserve">du </w:t>
      </w:r>
      <w:r>
        <w:t>paquet de services essentiels pour les femmes et filles victimes de violence</w:t>
      </w:r>
      <w:r w:rsidR="00F30BFA">
        <w:t xml:space="preserve"> (</w:t>
      </w:r>
      <w:r>
        <w:t>Lignes directrices sur les éléments de base de la qualité</w:t>
      </w:r>
      <w:r w:rsidR="00A45AFA">
        <w:t xml:space="preserve"> cité</w:t>
      </w:r>
      <w:r w:rsidR="00F30BFA">
        <w:t>)</w:t>
      </w:r>
      <w:r w:rsidR="00D210A6">
        <w:t>, y compris tout autre document jugé pertinent.</w:t>
      </w:r>
    </w:p>
    <w:p w:rsidR="00F30BFA" w:rsidRDefault="00F30BFA" w:rsidP="00F30BFA">
      <w:pPr>
        <w:spacing w:after="0"/>
        <w:jc w:val="both"/>
      </w:pPr>
      <w:r w:rsidRPr="00F30BFA">
        <w:rPr>
          <w:b/>
          <w:u w:val="single"/>
        </w:rPr>
        <w:t>Phase 3</w:t>
      </w:r>
      <w:r>
        <w:t xml:space="preserve"> : </w:t>
      </w:r>
    </w:p>
    <w:p w:rsidR="00A45AFA" w:rsidRDefault="00534A10" w:rsidP="00F30BFA">
      <w:pPr>
        <w:spacing w:after="0"/>
        <w:jc w:val="both"/>
      </w:pPr>
      <w:r w:rsidRPr="00D210A6">
        <w:rPr>
          <w:b/>
        </w:rPr>
        <w:t>Une cartographie analytique/état des lieux des services disponibles</w:t>
      </w:r>
      <w:r>
        <w:t xml:space="preserve"> pour les personnes en situation de handicap </w:t>
      </w:r>
      <w:r w:rsidR="0058165F">
        <w:t xml:space="preserve"> avec un focus sur les femmes/filles en situation d’handicap victimes de violence : cette cartographie portera sur la collecte et l’analyse quantitative et qualitative de</w:t>
      </w:r>
      <w:r w:rsidR="00031D9E">
        <w:t xml:space="preserve">s données  </w:t>
      </w:r>
      <w:r w:rsidR="002D7066">
        <w:t>auprès</w:t>
      </w:r>
      <w:r w:rsidR="00031D9E">
        <w:t xml:space="preserve"> des institutions concernées/ciblées (</w:t>
      </w:r>
      <w:r w:rsidR="0058165F">
        <w:t>MS,</w:t>
      </w:r>
      <w:r w:rsidR="00031D9E">
        <w:t xml:space="preserve">MSFEDS, MJ, </w:t>
      </w:r>
      <w:r w:rsidR="0058165F">
        <w:t>etc</w:t>
      </w:r>
      <w:r w:rsidR="00031D9E">
        <w:t>. et de la société civile</w:t>
      </w:r>
      <w:r w:rsidR="0058165F">
        <w:t>)</w:t>
      </w:r>
      <w:r w:rsidR="00031D9E">
        <w:t>:</w:t>
      </w:r>
      <w:r w:rsidR="00CD50E7">
        <w:t xml:space="preserve"> </w:t>
      </w:r>
      <w:r w:rsidR="00031D9E">
        <w:t xml:space="preserve">types de services, capacités d’accueil, profil de l’équipe en charge, organisation fonctionnelle, protocole de PEC, </w:t>
      </w:r>
      <w:r w:rsidR="00031D9E">
        <w:lastRenderedPageBreak/>
        <w:t xml:space="preserve">mécanisme de suivi et évaluation, modalités de référence, mécanismes de coordination, contraintes/obstacles identifiées et leur nature, opportunités </w:t>
      </w:r>
      <w:r w:rsidR="00A45AFA">
        <w:t>…</w:t>
      </w:r>
      <w:r w:rsidR="00031D9E">
        <w:t xml:space="preserve">etc. </w:t>
      </w:r>
    </w:p>
    <w:p w:rsidR="00534A10" w:rsidRDefault="00534A10" w:rsidP="00F30BFA">
      <w:pPr>
        <w:jc w:val="both"/>
      </w:pPr>
      <w:r>
        <w:t xml:space="preserve">Cette </w:t>
      </w:r>
      <w:r w:rsidR="0058165F">
        <w:t>cartographie</w:t>
      </w:r>
      <w:r>
        <w:t xml:space="preserve"> permettra  d’identifier et d’analyser les  services disponibles avec un focus  sur les  femmes et filles victime de violence en situation de handicap, au regard  des principes fondamentaux du paquet de services essentiels. Dans ce sens, l’analyse répondra à un certain nombre de questions/indications en relation avec les critères</w:t>
      </w:r>
      <w:r w:rsidR="00B63173">
        <w:t xml:space="preserve">/caractéristiques </w:t>
      </w:r>
      <w:r>
        <w:t xml:space="preserve">suivants : disponibilité, accessibilité, réactivité, adaptabilité, </w:t>
      </w:r>
      <w:r w:rsidR="00B63173">
        <w:t>sécurité, consentement, communication, collecte des données etc</w:t>
      </w:r>
      <w:r>
        <w:t xml:space="preserve">. </w:t>
      </w:r>
    </w:p>
    <w:p w:rsidR="00B63173" w:rsidRDefault="00F30BFA" w:rsidP="00B63173">
      <w:pPr>
        <w:spacing w:after="0"/>
        <w:jc w:val="both"/>
      </w:pPr>
      <w:r w:rsidRPr="00F30BFA">
        <w:rPr>
          <w:b/>
          <w:u w:val="single"/>
        </w:rPr>
        <w:t>Phase 4</w:t>
      </w:r>
      <w:r>
        <w:t xml:space="preserve"> : </w:t>
      </w:r>
    </w:p>
    <w:p w:rsidR="0058165F" w:rsidRDefault="00F30BFA" w:rsidP="00B63173">
      <w:pPr>
        <w:spacing w:after="0"/>
        <w:jc w:val="both"/>
      </w:pPr>
      <w:r>
        <w:t>Elaboration</w:t>
      </w:r>
      <w:r w:rsidR="0058165F">
        <w:t xml:space="preserve"> d’un </w:t>
      </w:r>
      <w:r w:rsidR="0058165F" w:rsidRPr="00D210A6">
        <w:rPr>
          <w:b/>
        </w:rPr>
        <w:t xml:space="preserve">cadre référentiel de services </w:t>
      </w:r>
      <w:r w:rsidR="0058165F" w:rsidRPr="004B39DE">
        <w:rPr>
          <w:b/>
        </w:rPr>
        <w:t>essentiels au</w:t>
      </w:r>
      <w:r w:rsidRPr="004B39DE">
        <w:rPr>
          <w:b/>
        </w:rPr>
        <w:t xml:space="preserve">x femmes et filles </w:t>
      </w:r>
      <w:r w:rsidR="004B39DE">
        <w:rPr>
          <w:b/>
        </w:rPr>
        <w:t xml:space="preserve">en situation de handicap </w:t>
      </w:r>
      <w:r w:rsidRPr="004B39DE">
        <w:rPr>
          <w:b/>
        </w:rPr>
        <w:t>victimes de violence,</w:t>
      </w:r>
      <w:r>
        <w:t xml:space="preserve"> aligné aux lignes directrices mondiales</w:t>
      </w:r>
      <w:r w:rsidR="00FE7FE0">
        <w:t xml:space="preserve"> et adapté au contexte national</w:t>
      </w:r>
      <w:r>
        <w:t>. Cette étape tiendr</w:t>
      </w:r>
      <w:r w:rsidR="00D210A6">
        <w:t>a</w:t>
      </w:r>
      <w:r>
        <w:t xml:space="preserve"> compte  </w:t>
      </w:r>
      <w:r w:rsidR="00FE7FE0">
        <w:t>des</w:t>
      </w:r>
      <w:r>
        <w:t xml:space="preserve"> résultats des phases précédentes</w:t>
      </w:r>
      <w:r w:rsidR="00FE7FE0">
        <w:t xml:space="preserve">, </w:t>
      </w:r>
      <w:r w:rsidR="004B39DE">
        <w:t xml:space="preserve">dont </w:t>
      </w:r>
      <w:r w:rsidR="00FE7FE0">
        <w:t>notamment de la Phase 3.</w:t>
      </w:r>
    </w:p>
    <w:p w:rsidR="00B63173" w:rsidRDefault="00B63173" w:rsidP="00B63173">
      <w:pPr>
        <w:spacing w:after="0"/>
        <w:jc w:val="both"/>
      </w:pPr>
    </w:p>
    <w:p w:rsidR="00534A10" w:rsidRPr="00534A10" w:rsidRDefault="00534A10" w:rsidP="00534A10">
      <w:pPr>
        <w:rPr>
          <w:b/>
        </w:rPr>
      </w:pPr>
      <w:r w:rsidRPr="00534A10">
        <w:rPr>
          <w:b/>
        </w:rPr>
        <w:t>5. Tâches et responsabilités</w:t>
      </w:r>
    </w:p>
    <w:p w:rsidR="00A93C8D" w:rsidRDefault="00FE7FE0" w:rsidP="00534A10">
      <w:r>
        <w:t>Cette consultation sera conduite sous la</w:t>
      </w:r>
      <w:r w:rsidR="00534A10">
        <w:t xml:space="preserve"> supervision du comité conjoint CNMH</w:t>
      </w:r>
      <w:r w:rsidR="00CC09D1">
        <w:t xml:space="preserve"> et </w:t>
      </w:r>
      <w:r w:rsidR="00534A10">
        <w:t>UNFPA</w:t>
      </w:r>
      <w:r>
        <w:t>. Le CNMH peut  invit</w:t>
      </w:r>
      <w:r w:rsidR="00A93C8D">
        <w:t>er aux réunions du comité, toute personne ressource (secteur public ou OSC) jugée utile.</w:t>
      </w:r>
    </w:p>
    <w:p w:rsidR="00534A10" w:rsidRPr="00A93C8D" w:rsidRDefault="00A93C8D" w:rsidP="00534A10">
      <w:pPr>
        <w:rPr>
          <w:i/>
        </w:rPr>
      </w:pPr>
      <w:r w:rsidRPr="00A93C8D">
        <w:rPr>
          <w:i/>
        </w:rPr>
        <w:t xml:space="preserve">Les tâches et </w:t>
      </w:r>
      <w:r w:rsidR="00721FDF" w:rsidRPr="00A93C8D">
        <w:rPr>
          <w:i/>
        </w:rPr>
        <w:t>responsabilités du</w:t>
      </w:r>
      <w:r w:rsidR="00534A10" w:rsidRPr="00A93C8D">
        <w:rPr>
          <w:i/>
        </w:rPr>
        <w:t xml:space="preserve"> consultant(e) </w:t>
      </w:r>
      <w:r w:rsidRPr="00A93C8D">
        <w:rPr>
          <w:i/>
        </w:rPr>
        <w:t>sont</w:t>
      </w:r>
      <w:r w:rsidR="00534A10" w:rsidRPr="00A93C8D">
        <w:rPr>
          <w:i/>
        </w:rPr>
        <w:t xml:space="preserve">: </w:t>
      </w:r>
    </w:p>
    <w:p w:rsidR="00CC09D1" w:rsidRDefault="00534A10" w:rsidP="00A93C8D">
      <w:pPr>
        <w:pStyle w:val="ListParagraph"/>
        <w:numPr>
          <w:ilvl w:val="0"/>
          <w:numId w:val="5"/>
        </w:numPr>
        <w:jc w:val="both"/>
      </w:pPr>
      <w:r>
        <w:t>Procéder à une recherche/analyse documentaire ciblée en rapport avec l’objet de la consultation</w:t>
      </w:r>
      <w:r w:rsidR="0058165F">
        <w:t> ;</w:t>
      </w:r>
    </w:p>
    <w:p w:rsidR="007C4201" w:rsidRDefault="00534A10" w:rsidP="00A93C8D">
      <w:pPr>
        <w:pStyle w:val="ListParagraph"/>
        <w:numPr>
          <w:ilvl w:val="0"/>
          <w:numId w:val="5"/>
        </w:numPr>
        <w:jc w:val="both"/>
      </w:pPr>
      <w:r>
        <w:t>Identifier</w:t>
      </w:r>
      <w:r w:rsidR="007C4201">
        <w:t xml:space="preserve"> et c</w:t>
      </w:r>
      <w:r>
        <w:t xml:space="preserve">onsulter les partenaires institutionnels et de la société civile, prestataires de services </w:t>
      </w:r>
      <w:r w:rsidR="007C4201">
        <w:t xml:space="preserve">et partenaires potentiels </w:t>
      </w:r>
      <w:r w:rsidR="0058165F">
        <w:t xml:space="preserve">(Santé, Justice, ONGs etc…) impliquer dans la chaine de prise en charge des femmes/filles victimes de violence et </w:t>
      </w:r>
      <w:r w:rsidR="00CC09D1">
        <w:t xml:space="preserve">en particulier </w:t>
      </w:r>
      <w:r w:rsidR="0058165F">
        <w:t xml:space="preserve">de </w:t>
      </w:r>
      <w:r w:rsidR="00CC09D1">
        <w:t>celles en situation de Handicap</w:t>
      </w:r>
      <w:r w:rsidR="007C4201">
        <w:t> ;</w:t>
      </w:r>
    </w:p>
    <w:p w:rsidR="00534A10" w:rsidRDefault="00CC09D1" w:rsidP="00A93C8D">
      <w:pPr>
        <w:pStyle w:val="ListParagraph"/>
        <w:numPr>
          <w:ilvl w:val="0"/>
          <w:numId w:val="5"/>
        </w:numPr>
        <w:jc w:val="both"/>
      </w:pPr>
      <w:r>
        <w:t>E</w:t>
      </w:r>
      <w:r w:rsidR="00534A10">
        <w:t>tablir</w:t>
      </w:r>
      <w:r w:rsidR="0088416D">
        <w:t xml:space="preserve"> </w:t>
      </w:r>
      <w:r w:rsidR="00534A10">
        <w:t>un répertoire</w:t>
      </w:r>
      <w:r w:rsidR="0088416D">
        <w:t xml:space="preserve"> </w:t>
      </w:r>
      <w:r w:rsidR="00A93C8D">
        <w:t>d</w:t>
      </w:r>
      <w:r w:rsidR="00A93C8D" w:rsidRPr="00A93C8D">
        <w:t xml:space="preserve">es partenaires institutionnels et de la société civile prestataires de services  et partenaires potentiels </w:t>
      </w:r>
      <w:r w:rsidR="00534A10">
        <w:t>sur leur rôle</w:t>
      </w:r>
      <w:r w:rsidR="007C4201">
        <w:t>/mission</w:t>
      </w:r>
      <w:r w:rsidR="00534A10">
        <w:t xml:space="preserve">, </w:t>
      </w:r>
      <w:r w:rsidR="007C4201">
        <w:t>types de services fournis, mécanismes de suivi, référence et coordination</w:t>
      </w:r>
      <w:r w:rsidR="00534A10">
        <w:t>;</w:t>
      </w:r>
    </w:p>
    <w:p w:rsidR="00534A10" w:rsidRDefault="00534A10" w:rsidP="00A93C8D">
      <w:pPr>
        <w:pStyle w:val="ListParagraph"/>
        <w:numPr>
          <w:ilvl w:val="0"/>
          <w:numId w:val="5"/>
        </w:numPr>
        <w:jc w:val="both"/>
      </w:pPr>
      <w:r>
        <w:t xml:space="preserve">Identifier les contraintes/insuffisances en matière de </w:t>
      </w:r>
      <w:r w:rsidR="009D0D14">
        <w:t>disponibilité et d’accès aux services en matière de prise en charge des PSH notamment les femmes et filles victimes de violence</w:t>
      </w:r>
      <w:r>
        <w:t>;</w:t>
      </w:r>
    </w:p>
    <w:p w:rsidR="00E9710B" w:rsidRDefault="00E9710B" w:rsidP="00A93C8D">
      <w:pPr>
        <w:pStyle w:val="ListParagraph"/>
        <w:numPr>
          <w:ilvl w:val="0"/>
          <w:numId w:val="5"/>
        </w:numPr>
        <w:jc w:val="both"/>
      </w:pPr>
      <w:r>
        <w:t xml:space="preserve">Identifier les attentes et opportunités des partenaires institutionnels et de la société civile  pour améliorer la disponibilité et l’accès aux femmes et filles en situation de handicap victimes de violences fondées sur </w:t>
      </w:r>
      <w:r w:rsidR="001737C8">
        <w:t>l</w:t>
      </w:r>
      <w:r>
        <w:t>e genre</w:t>
      </w:r>
      <w:r w:rsidR="001737C8">
        <w:t xml:space="preserve"> et proposer des recommandations dans ce sens</w:t>
      </w:r>
      <w:r>
        <w:t xml:space="preserve">; </w:t>
      </w:r>
    </w:p>
    <w:p w:rsidR="00534A10" w:rsidRDefault="00534A10" w:rsidP="00D210A6">
      <w:pPr>
        <w:jc w:val="both"/>
      </w:pPr>
      <w:r>
        <w:t xml:space="preserve">En outre, le/la consultant(e) </w:t>
      </w:r>
      <w:r w:rsidR="00D210A6">
        <w:t>participera à : (i) une réunion de cadrage de validation de la note méthodologique organisée par le commanditaire et ce pour</w:t>
      </w:r>
      <w:r>
        <w:t xml:space="preserve"> affiner le cadre de la </w:t>
      </w:r>
      <w:r w:rsidR="00D210A6">
        <w:t>consultation</w:t>
      </w:r>
      <w:r>
        <w:t xml:space="preserve"> ; (ii) </w:t>
      </w:r>
      <w:r w:rsidR="009D0D14">
        <w:t xml:space="preserve">une réunion </w:t>
      </w:r>
      <w:r w:rsidR="001737C8">
        <w:t xml:space="preserve">de suivi </w:t>
      </w:r>
      <w:r w:rsidR="00D210A6">
        <w:t xml:space="preserve">avec le comité pour présenter l’état d’avancement des </w:t>
      </w:r>
      <w:r w:rsidR="001737C8">
        <w:t>différentes phases de la mission de consultation ; (ii</w:t>
      </w:r>
      <w:r>
        <w:t>i) un atelier de présentation de résultats finaux</w:t>
      </w:r>
      <w:r w:rsidR="001737C8">
        <w:t xml:space="preserve"> (</w:t>
      </w:r>
      <w:r w:rsidR="00CD50E7">
        <w:t xml:space="preserve">Rapport et </w:t>
      </w:r>
      <w:r w:rsidR="001737C8">
        <w:t>présentation PPT)</w:t>
      </w:r>
      <w:r>
        <w:t>.</w:t>
      </w:r>
    </w:p>
    <w:p w:rsidR="00534A10" w:rsidRPr="00534A10" w:rsidRDefault="00534A10" w:rsidP="00534A10">
      <w:pPr>
        <w:rPr>
          <w:b/>
        </w:rPr>
      </w:pPr>
      <w:r w:rsidRPr="00534A10">
        <w:rPr>
          <w:b/>
        </w:rPr>
        <w:t>6. Durée de la consultation</w:t>
      </w:r>
    </w:p>
    <w:p w:rsidR="00534A10" w:rsidRDefault="00534A10" w:rsidP="00CD50E7">
      <w:r>
        <w:t xml:space="preserve">La durée de la prestation est estimée à  </w:t>
      </w:r>
      <w:r w:rsidR="00CD50E7">
        <w:t>30</w:t>
      </w:r>
      <w:r>
        <w:t xml:space="preserve"> jours ouvrables à partir de la signature du contrat.   </w:t>
      </w:r>
    </w:p>
    <w:p w:rsidR="00A7573C" w:rsidRDefault="00A7573C" w:rsidP="00534A10"/>
    <w:p w:rsidR="00A7573C" w:rsidRDefault="00A7573C" w:rsidP="00534A10"/>
    <w:p w:rsidR="00534A10" w:rsidRPr="00534A10" w:rsidRDefault="00534A10" w:rsidP="00534A10">
      <w:pPr>
        <w:rPr>
          <w:b/>
        </w:rPr>
      </w:pPr>
      <w:r w:rsidRPr="00534A10">
        <w:rPr>
          <w:b/>
        </w:rPr>
        <w:t xml:space="preserve"> 7. Livrables attendus</w:t>
      </w:r>
    </w:p>
    <w:p w:rsidR="00534A10" w:rsidRDefault="00534A10" w:rsidP="00B63173">
      <w:pPr>
        <w:pStyle w:val="ListParagraph"/>
        <w:numPr>
          <w:ilvl w:val="0"/>
          <w:numId w:val="6"/>
        </w:numPr>
        <w:jc w:val="both"/>
      </w:pPr>
      <w:r>
        <w:t>Une note méthodologique détaillée de la consultation, déclinant les différentes étapes à réaliser, et les outils d’investigation, les différentes sources à utiliser, un échéancier etc.</w:t>
      </w:r>
    </w:p>
    <w:p w:rsidR="00534A10" w:rsidRDefault="00534A10" w:rsidP="00B63173">
      <w:pPr>
        <w:pStyle w:val="ListParagraph"/>
        <w:numPr>
          <w:ilvl w:val="0"/>
          <w:numId w:val="6"/>
        </w:numPr>
        <w:spacing w:after="0"/>
        <w:jc w:val="both"/>
      </w:pPr>
      <w:r>
        <w:t xml:space="preserve">Un rapport sur le processus et </w:t>
      </w:r>
      <w:r w:rsidR="001737C8">
        <w:t xml:space="preserve"> une</w:t>
      </w:r>
      <w:r>
        <w:t xml:space="preserve"> cartographie analytique/ état des lieux des services disponibles avec un focus sur les femmes/filles en situation de handicap victimes de violence</w:t>
      </w:r>
      <w:r w:rsidR="003C747A">
        <w:t xml:space="preserve"> </w:t>
      </w:r>
      <w:r w:rsidR="001737C8">
        <w:t xml:space="preserve">fondée sur le genre </w:t>
      </w:r>
      <w:r w:rsidR="00F30BFA">
        <w:t>(Etape 3)</w:t>
      </w:r>
      <w:r>
        <w:t>.</w:t>
      </w:r>
    </w:p>
    <w:p w:rsidR="00534A10" w:rsidRDefault="00534A10" w:rsidP="00B63173">
      <w:pPr>
        <w:pStyle w:val="ListParagraph"/>
        <w:numPr>
          <w:ilvl w:val="0"/>
          <w:numId w:val="6"/>
        </w:numPr>
        <w:spacing w:after="0"/>
        <w:jc w:val="both"/>
      </w:pPr>
      <w:r>
        <w:t xml:space="preserve">Un  </w:t>
      </w:r>
      <w:r w:rsidR="001737C8" w:rsidRPr="001737C8">
        <w:t>document</w:t>
      </w:r>
      <w:r w:rsidR="001737C8">
        <w:t xml:space="preserve"> technique/</w:t>
      </w:r>
      <w:r w:rsidR="00F30BFA">
        <w:t>cadre référentiel</w:t>
      </w:r>
      <w:r w:rsidR="0088416D">
        <w:t xml:space="preserve"> </w:t>
      </w:r>
      <w:r w:rsidR="00F30BFA">
        <w:t>des services essentiels aux femmes et filles victimes en situation d’</w:t>
      </w:r>
      <w:r w:rsidR="001737C8">
        <w:t>handicap</w:t>
      </w:r>
      <w:r w:rsidR="00F30BFA">
        <w:t xml:space="preserve"> victimes de violence</w:t>
      </w:r>
      <w:r w:rsidR="001737C8">
        <w:t xml:space="preserve"> fondée sur le genre (Etape 4)</w:t>
      </w:r>
      <w:r w:rsidR="00F30BFA">
        <w:t>.</w:t>
      </w:r>
    </w:p>
    <w:p w:rsidR="001737C8" w:rsidRDefault="001737C8" w:rsidP="00B63173">
      <w:pPr>
        <w:pStyle w:val="ListParagraph"/>
        <w:numPr>
          <w:ilvl w:val="0"/>
          <w:numId w:val="6"/>
        </w:numPr>
        <w:spacing w:after="0"/>
        <w:jc w:val="both"/>
      </w:pPr>
      <w:r>
        <w:t>Une présentation PPT.</w:t>
      </w:r>
    </w:p>
    <w:p w:rsidR="001737C8" w:rsidRDefault="001737C8" w:rsidP="001737C8">
      <w:pPr>
        <w:spacing w:after="0"/>
      </w:pPr>
    </w:p>
    <w:p w:rsidR="00534A10" w:rsidRPr="00534A10" w:rsidRDefault="00534A10" w:rsidP="00534A10">
      <w:pPr>
        <w:rPr>
          <w:b/>
        </w:rPr>
      </w:pPr>
      <w:r w:rsidRPr="00534A10">
        <w:rPr>
          <w:b/>
        </w:rPr>
        <w:t>8. Compétences requises</w:t>
      </w:r>
    </w:p>
    <w:p w:rsidR="00534A10" w:rsidRDefault="00534A10" w:rsidP="00CD50E7">
      <w:r>
        <w:t>Vu la nécessaire combinaison de la connaissance des bonnes pratiques internationales et du contexte marocain dans le domaine</w:t>
      </w:r>
      <w:r w:rsidR="001737C8">
        <w:t xml:space="preserve"> </w:t>
      </w:r>
      <w:r w:rsidR="00CD50E7">
        <w:t xml:space="preserve">« objet </w:t>
      </w:r>
      <w:r>
        <w:t>de la consultation</w:t>
      </w:r>
      <w:r w:rsidR="00CD50E7">
        <w:t> »</w:t>
      </w:r>
      <w:r>
        <w:t>, celle-ci nécessite que le/la consultant(e)  dispose d’une expérience et des compétences confirmées suivantes :</w:t>
      </w:r>
    </w:p>
    <w:p w:rsidR="00534A10" w:rsidRPr="0020227E" w:rsidRDefault="00534A10" w:rsidP="006745AF">
      <w:pPr>
        <w:pStyle w:val="ListParagraph"/>
        <w:numPr>
          <w:ilvl w:val="0"/>
          <w:numId w:val="7"/>
        </w:numPr>
        <w:spacing w:after="0"/>
        <w:rPr>
          <w:i/>
        </w:rPr>
      </w:pPr>
      <w:r w:rsidRPr="0020227E">
        <w:rPr>
          <w:i/>
        </w:rPr>
        <w:t xml:space="preserve">Compétences académiques </w:t>
      </w:r>
    </w:p>
    <w:p w:rsidR="00534A10" w:rsidRDefault="0020227E" w:rsidP="009E266C">
      <w:pPr>
        <w:pStyle w:val="ListParagraph"/>
        <w:numPr>
          <w:ilvl w:val="0"/>
          <w:numId w:val="9"/>
        </w:numPr>
        <w:spacing w:after="0"/>
      </w:pPr>
      <w:r w:rsidRPr="009E266C">
        <w:t>Diplôme universitaire supérieure en santé publique et/ ou en sciences humaines/sociales, ou formation équivalente  avec une maîtrise  des méthodes d’investigation  statistique et de recherches</w:t>
      </w:r>
      <w:r w:rsidR="00534A10" w:rsidRPr="0020227E">
        <w:t>.</w:t>
      </w:r>
      <w:bookmarkStart w:id="0" w:name="_GoBack"/>
      <w:bookmarkEnd w:id="0"/>
    </w:p>
    <w:p w:rsidR="001737C8" w:rsidRDefault="001737C8" w:rsidP="0000555B">
      <w:pPr>
        <w:spacing w:after="0" w:line="240" w:lineRule="auto"/>
        <w:rPr>
          <w:i/>
        </w:rPr>
      </w:pPr>
    </w:p>
    <w:p w:rsidR="00534A10" w:rsidRPr="006745AF" w:rsidRDefault="00534A10" w:rsidP="006745AF">
      <w:pPr>
        <w:pStyle w:val="ListParagraph"/>
        <w:numPr>
          <w:ilvl w:val="0"/>
          <w:numId w:val="7"/>
        </w:numPr>
        <w:spacing w:after="0"/>
        <w:rPr>
          <w:i/>
        </w:rPr>
      </w:pPr>
      <w:r w:rsidRPr="006745AF">
        <w:rPr>
          <w:i/>
        </w:rPr>
        <w:t>Connaissance de la thématique</w:t>
      </w:r>
    </w:p>
    <w:p w:rsidR="00534A10" w:rsidRDefault="00534A10" w:rsidP="006745AF">
      <w:pPr>
        <w:pStyle w:val="ListParagraph"/>
        <w:numPr>
          <w:ilvl w:val="0"/>
          <w:numId w:val="9"/>
        </w:numPr>
        <w:spacing w:after="0"/>
      </w:pPr>
      <w:r>
        <w:t xml:space="preserve">Excellente connaissance des politiques publiques sociales </w:t>
      </w:r>
      <w:r w:rsidR="006745AF">
        <w:t>et engagement internationaux</w:t>
      </w:r>
      <w:r w:rsidR="00CD50E7">
        <w:t xml:space="preserve"> </w:t>
      </w:r>
      <w:r w:rsidR="006745AF">
        <w:t>d</w:t>
      </w:r>
      <w:r w:rsidR="006745AF" w:rsidRPr="006745AF">
        <w:t xml:space="preserve">u Maroc </w:t>
      </w:r>
      <w:r>
        <w:t xml:space="preserve">et des acteurs institutionnels et de la société civile relatives à la question </w:t>
      </w:r>
      <w:r w:rsidR="006745AF">
        <w:t xml:space="preserve">des PSH en général </w:t>
      </w:r>
      <w:r w:rsidR="006745AF" w:rsidRPr="006745AF">
        <w:t>avec un focus sur les femmes et filles en situation de handicap victimes de violence</w:t>
      </w:r>
      <w:r w:rsidR="006745AF">
        <w:t xml:space="preserve"> au Maroc</w:t>
      </w:r>
      <w:r>
        <w:t xml:space="preserve">. </w:t>
      </w:r>
    </w:p>
    <w:p w:rsidR="00534A10" w:rsidRDefault="00534A10" w:rsidP="006745AF">
      <w:pPr>
        <w:pStyle w:val="ListParagraph"/>
        <w:numPr>
          <w:ilvl w:val="0"/>
          <w:numId w:val="9"/>
        </w:numPr>
        <w:spacing w:after="0"/>
      </w:pPr>
      <w:r>
        <w:t xml:space="preserve">Une connaissance avérée  liées à la prise en charge/prestation de services multidisciplinaires </w:t>
      </w:r>
      <w:r w:rsidR="006745AF">
        <w:t>par les secteurs publics directement impliqués (Santé, Justice, EN, société civile etc</w:t>
      </w:r>
      <w:r>
        <w:t>.</w:t>
      </w:r>
      <w:r w:rsidR="006745AF">
        <w:t>) ou potentiels.</w:t>
      </w:r>
    </w:p>
    <w:p w:rsidR="00534A10" w:rsidRDefault="00534A10" w:rsidP="0000555B">
      <w:pPr>
        <w:pStyle w:val="ListParagraph"/>
        <w:numPr>
          <w:ilvl w:val="0"/>
          <w:numId w:val="9"/>
        </w:numPr>
        <w:spacing w:after="0"/>
      </w:pPr>
      <w:r>
        <w:t>Expertise confirmée en matière d’approche droits humains</w:t>
      </w:r>
      <w:r w:rsidR="006745AF">
        <w:t>,</w:t>
      </w:r>
      <w:r w:rsidR="00CD50E7">
        <w:t xml:space="preserve"> </w:t>
      </w:r>
      <w:r w:rsidR="006745AF">
        <w:t>la violence fondée sur le genre, la</w:t>
      </w:r>
      <w:r w:rsidR="006745AF" w:rsidRPr="006745AF">
        <w:t xml:space="preserve"> lutte contre les discriminations</w:t>
      </w:r>
      <w:r w:rsidR="006745AF">
        <w:t xml:space="preserve"> etc.</w:t>
      </w:r>
    </w:p>
    <w:p w:rsidR="006745AF" w:rsidRDefault="006745AF" w:rsidP="006745AF">
      <w:pPr>
        <w:spacing w:after="0"/>
        <w:rPr>
          <w:i/>
        </w:rPr>
      </w:pPr>
    </w:p>
    <w:p w:rsidR="00534A10" w:rsidRPr="006C46E4" w:rsidRDefault="00534A10" w:rsidP="006C46E4">
      <w:pPr>
        <w:pStyle w:val="ListParagraph"/>
        <w:numPr>
          <w:ilvl w:val="0"/>
          <w:numId w:val="7"/>
        </w:numPr>
        <w:rPr>
          <w:i/>
        </w:rPr>
      </w:pPr>
      <w:r w:rsidRPr="006C46E4">
        <w:rPr>
          <w:i/>
        </w:rPr>
        <w:t>Compétences dans la recherche</w:t>
      </w:r>
    </w:p>
    <w:p w:rsidR="00534A10" w:rsidRDefault="00534A10" w:rsidP="006C46E4">
      <w:pPr>
        <w:pStyle w:val="ListParagraph"/>
        <w:numPr>
          <w:ilvl w:val="0"/>
          <w:numId w:val="11"/>
        </w:numPr>
        <w:spacing w:after="120"/>
      </w:pPr>
      <w:r>
        <w:t xml:space="preserve">Capacité à </w:t>
      </w:r>
      <w:r w:rsidR="006C46E4">
        <w:t xml:space="preserve">exploiter, </w:t>
      </w:r>
      <w:r>
        <w:t xml:space="preserve">analyser les ressources et documents pertinents, dont les politiques, stratégies et programmes au niveau national, </w:t>
      </w:r>
      <w:r w:rsidR="006745AF">
        <w:t xml:space="preserve">les conventions internationales, </w:t>
      </w:r>
      <w:r>
        <w:t>les rapports sur les problématiques et les services, et tout rapport de recherche pertinent en relation avec les PSH, avec un focus sur la violence fondée sur le genre</w:t>
      </w:r>
      <w:r w:rsidR="006745AF">
        <w:t>.</w:t>
      </w:r>
    </w:p>
    <w:p w:rsidR="006745AF" w:rsidRDefault="006745AF" w:rsidP="006C46E4">
      <w:pPr>
        <w:pStyle w:val="ListParagraph"/>
        <w:numPr>
          <w:ilvl w:val="0"/>
          <w:numId w:val="11"/>
        </w:numPr>
        <w:spacing w:after="120"/>
      </w:pPr>
      <w:r w:rsidRPr="006745AF">
        <w:t xml:space="preserve">Capacité à organiser et </w:t>
      </w:r>
      <w:r w:rsidR="006C46E4">
        <w:t xml:space="preserve">conduire les entretiens, </w:t>
      </w:r>
      <w:r w:rsidRPr="006745AF">
        <w:t>focus groups</w:t>
      </w:r>
      <w:r w:rsidR="006C46E4">
        <w:t xml:space="preserve"> etc</w:t>
      </w:r>
      <w:r w:rsidRPr="006745AF">
        <w:t>.</w:t>
      </w:r>
    </w:p>
    <w:p w:rsidR="00534A10" w:rsidRDefault="00534A10" w:rsidP="006C46E4">
      <w:pPr>
        <w:pStyle w:val="ListParagraph"/>
        <w:numPr>
          <w:ilvl w:val="0"/>
          <w:numId w:val="11"/>
        </w:numPr>
        <w:spacing w:after="120"/>
      </w:pPr>
      <w:r>
        <w:t xml:space="preserve">Capacité à collecter et à interpréter des informations et données qualitatives par la conduite d’entretiens, focus groupe etc. </w:t>
      </w:r>
    </w:p>
    <w:p w:rsidR="006C46E4" w:rsidRDefault="006C46E4" w:rsidP="006C46E4">
      <w:pPr>
        <w:pStyle w:val="ListParagraph"/>
        <w:numPr>
          <w:ilvl w:val="0"/>
          <w:numId w:val="11"/>
        </w:numPr>
        <w:spacing w:after="120"/>
      </w:pPr>
      <w:r w:rsidRPr="006C46E4">
        <w:t>Capacité à évaluer et analyser les données statistiques et informations qualitatives et quantitatives disponibles et collectées sur le terrain.</w:t>
      </w:r>
    </w:p>
    <w:p w:rsidR="00534A10" w:rsidRDefault="00534A10" w:rsidP="006C46E4">
      <w:pPr>
        <w:pStyle w:val="ListParagraph"/>
        <w:numPr>
          <w:ilvl w:val="0"/>
          <w:numId w:val="11"/>
        </w:numPr>
        <w:spacing w:after="120"/>
      </w:pPr>
      <w:r>
        <w:t>Capacité</w:t>
      </w:r>
      <w:r w:rsidR="006745AF">
        <w:t xml:space="preserve"> de </w:t>
      </w:r>
      <w:r w:rsidR="006C46E4">
        <w:t>synthèse</w:t>
      </w:r>
      <w:r w:rsidR="006745AF">
        <w:t xml:space="preserve"> et de rédaction</w:t>
      </w:r>
      <w:r>
        <w:t>.</w:t>
      </w:r>
    </w:p>
    <w:p w:rsidR="006C46E4" w:rsidRDefault="006C46E4" w:rsidP="006C46E4">
      <w:pPr>
        <w:pStyle w:val="ListParagraph"/>
        <w:numPr>
          <w:ilvl w:val="0"/>
          <w:numId w:val="11"/>
        </w:numPr>
        <w:spacing w:after="120"/>
      </w:pPr>
      <w:r>
        <w:t>Capacité de communication</w:t>
      </w:r>
    </w:p>
    <w:p w:rsidR="006745AF" w:rsidRDefault="006745AF" w:rsidP="006C46E4">
      <w:pPr>
        <w:pStyle w:val="ListParagraph"/>
        <w:numPr>
          <w:ilvl w:val="0"/>
          <w:numId w:val="11"/>
        </w:numPr>
        <w:spacing w:after="120"/>
      </w:pPr>
      <w:r w:rsidRPr="006745AF">
        <w:lastRenderedPageBreak/>
        <w:t>Maîtrise de la langue arabe et française (oral et écrit).</w:t>
      </w:r>
    </w:p>
    <w:p w:rsidR="001805EE" w:rsidRDefault="001805EE" w:rsidP="001805EE">
      <w:pPr>
        <w:spacing w:after="120"/>
      </w:pPr>
    </w:p>
    <w:p w:rsidR="00534A10" w:rsidRDefault="00534A10" w:rsidP="0066223E">
      <w:pPr>
        <w:rPr>
          <w:b/>
        </w:rPr>
      </w:pPr>
      <w:r w:rsidRPr="00534A10">
        <w:rPr>
          <w:b/>
        </w:rPr>
        <w:t>9. Evaluation des offres</w:t>
      </w:r>
    </w:p>
    <w:p w:rsidR="0066223E" w:rsidRDefault="0066223E" w:rsidP="0066223E">
      <w:pPr>
        <w:pStyle w:val="ListParagraph"/>
        <w:numPr>
          <w:ilvl w:val="0"/>
          <w:numId w:val="16"/>
        </w:numPr>
        <w:spacing w:after="0" w:line="240" w:lineRule="auto"/>
        <w:rPr>
          <w:b/>
          <w:bCs/>
          <w:lang w:val="en-US"/>
        </w:rPr>
      </w:pPr>
      <w:r w:rsidRPr="00931FE1">
        <w:rPr>
          <w:b/>
          <w:bCs/>
          <w:lang w:val="en-US"/>
        </w:rPr>
        <w:t>Analyse de l’offre technique</w:t>
      </w:r>
    </w:p>
    <w:p w:rsidR="0066223E" w:rsidRDefault="0066223E" w:rsidP="0066223E">
      <w:pPr>
        <w:spacing w:after="0" w:line="240" w:lineRule="auto"/>
        <w:contextualSpacing/>
        <w:jc w:val="both"/>
        <w:rPr>
          <w:rFonts w:cs="Calibri"/>
        </w:rPr>
      </w:pPr>
    </w:p>
    <w:p w:rsidR="0066223E" w:rsidRDefault="0066223E" w:rsidP="0066223E">
      <w:pPr>
        <w:spacing w:after="0" w:line="240" w:lineRule="auto"/>
        <w:contextualSpacing/>
        <w:jc w:val="both"/>
        <w:rPr>
          <w:rFonts w:cs="Calibri"/>
        </w:rPr>
      </w:pPr>
      <w:r w:rsidRPr="005008D6">
        <w:rPr>
          <w:rFonts w:cs="Calibri"/>
        </w:rPr>
        <w:t>Le comité technique évaluera les propositions techniques selon la grille suivante :</w:t>
      </w:r>
    </w:p>
    <w:p w:rsidR="0066223E" w:rsidRPr="005008D6" w:rsidRDefault="0066223E" w:rsidP="0066223E">
      <w:pPr>
        <w:spacing w:after="0" w:line="240" w:lineRule="auto"/>
        <w:contextualSpacing/>
        <w:jc w:val="both"/>
        <w:rPr>
          <w:rFonts w:cs="Calibri"/>
        </w:rPr>
      </w:pPr>
    </w:p>
    <w:tbl>
      <w:tblPr>
        <w:tblW w:w="9413" w:type="dxa"/>
        <w:tblInd w:w="55" w:type="dxa"/>
        <w:tblCellMar>
          <w:left w:w="70" w:type="dxa"/>
          <w:right w:w="70" w:type="dxa"/>
        </w:tblCellMar>
        <w:tblLook w:val="00A0" w:firstRow="1" w:lastRow="0" w:firstColumn="1" w:lastColumn="0" w:noHBand="0" w:noVBand="0"/>
      </w:tblPr>
      <w:tblGrid>
        <w:gridCol w:w="1149"/>
        <w:gridCol w:w="6946"/>
        <w:gridCol w:w="1318"/>
      </w:tblGrid>
      <w:tr w:rsidR="0066223E" w:rsidRPr="00880650" w:rsidTr="0095772B">
        <w:trPr>
          <w:trHeight w:val="132"/>
        </w:trPr>
        <w:tc>
          <w:tcPr>
            <w:tcW w:w="80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6223E" w:rsidRPr="00880650" w:rsidRDefault="0066223E" w:rsidP="0095772B">
            <w:pPr>
              <w:spacing w:after="0" w:line="240" w:lineRule="auto"/>
              <w:contextualSpacing/>
              <w:jc w:val="center"/>
              <w:rPr>
                <w:rFonts w:cs="Calibri"/>
                <w:b/>
                <w:bCs/>
                <w:color w:val="000000"/>
              </w:rPr>
            </w:pPr>
            <w:r w:rsidRPr="00880650">
              <w:rPr>
                <w:rFonts w:cs="Calibri"/>
                <w:b/>
                <w:color w:val="000000"/>
              </w:rPr>
              <w:t>CRITERES</w:t>
            </w:r>
          </w:p>
        </w:tc>
        <w:tc>
          <w:tcPr>
            <w:tcW w:w="1318" w:type="dxa"/>
            <w:tcBorders>
              <w:top w:val="single" w:sz="4" w:space="0" w:color="auto"/>
              <w:left w:val="nil"/>
              <w:bottom w:val="single" w:sz="4" w:space="0" w:color="auto"/>
              <w:right w:val="single" w:sz="4" w:space="0" w:color="auto"/>
            </w:tcBorders>
            <w:shd w:val="clear" w:color="auto" w:fill="auto"/>
            <w:noWrap/>
            <w:vAlign w:val="bottom"/>
          </w:tcPr>
          <w:p w:rsidR="0066223E" w:rsidRPr="00880650" w:rsidRDefault="0066223E" w:rsidP="0095772B">
            <w:pPr>
              <w:spacing w:after="0" w:line="240" w:lineRule="auto"/>
              <w:contextualSpacing/>
              <w:jc w:val="center"/>
              <w:rPr>
                <w:rFonts w:cs="Calibri"/>
                <w:b/>
                <w:bCs/>
                <w:color w:val="000000"/>
              </w:rPr>
            </w:pPr>
            <w:r w:rsidRPr="00880650">
              <w:rPr>
                <w:rFonts w:cs="Calibri"/>
                <w:b/>
                <w:color w:val="000000"/>
              </w:rPr>
              <w:t>Note max</w:t>
            </w:r>
          </w:p>
        </w:tc>
      </w:tr>
      <w:tr w:rsidR="0066223E" w:rsidRPr="00880650" w:rsidTr="0095772B">
        <w:trPr>
          <w:trHeight w:val="132"/>
        </w:trPr>
        <w:tc>
          <w:tcPr>
            <w:tcW w:w="8095" w:type="dxa"/>
            <w:gridSpan w:val="2"/>
            <w:vMerge/>
            <w:tcBorders>
              <w:top w:val="single" w:sz="4" w:space="0" w:color="auto"/>
              <w:left w:val="single" w:sz="4" w:space="0" w:color="auto"/>
              <w:bottom w:val="single" w:sz="4" w:space="0" w:color="auto"/>
              <w:right w:val="single" w:sz="4" w:space="0" w:color="auto"/>
            </w:tcBorders>
            <w:noWrap/>
            <w:vAlign w:val="bottom"/>
          </w:tcPr>
          <w:p w:rsidR="0066223E" w:rsidRPr="00880650" w:rsidRDefault="0066223E" w:rsidP="0095772B">
            <w:pPr>
              <w:spacing w:after="0" w:line="240" w:lineRule="auto"/>
              <w:contextualSpacing/>
              <w:jc w:val="center"/>
              <w:rPr>
                <w:rFonts w:cs="Calibri"/>
                <w:b/>
                <w:color w:val="000000"/>
                <w:highlight w:val="yellow"/>
              </w:rPr>
            </w:pPr>
          </w:p>
        </w:tc>
        <w:tc>
          <w:tcPr>
            <w:tcW w:w="1318" w:type="dxa"/>
            <w:tcBorders>
              <w:top w:val="single" w:sz="4" w:space="0" w:color="auto"/>
              <w:left w:val="nil"/>
              <w:bottom w:val="single" w:sz="4" w:space="0" w:color="auto"/>
              <w:right w:val="single" w:sz="4" w:space="0" w:color="auto"/>
            </w:tcBorders>
            <w:shd w:val="clear" w:color="auto" w:fill="auto"/>
            <w:noWrap/>
            <w:vAlign w:val="bottom"/>
          </w:tcPr>
          <w:p w:rsidR="0066223E" w:rsidRPr="00880650" w:rsidRDefault="0066223E" w:rsidP="0095772B">
            <w:pPr>
              <w:spacing w:after="0" w:line="240" w:lineRule="auto"/>
              <w:contextualSpacing/>
              <w:jc w:val="center"/>
              <w:rPr>
                <w:rFonts w:cs="Calibri"/>
                <w:b/>
                <w:bCs/>
                <w:color w:val="000000"/>
                <w:highlight w:val="yellow"/>
              </w:rPr>
            </w:pPr>
            <w:r w:rsidRPr="00880650">
              <w:rPr>
                <w:rFonts w:cs="Calibri"/>
                <w:b/>
                <w:bCs/>
                <w:color w:val="000000"/>
              </w:rPr>
              <w:t>1000</w:t>
            </w:r>
          </w:p>
        </w:tc>
      </w:tr>
      <w:tr w:rsidR="0066223E" w:rsidRPr="00880650" w:rsidTr="0095772B">
        <w:trPr>
          <w:trHeight w:val="255"/>
        </w:trPr>
        <w:tc>
          <w:tcPr>
            <w:tcW w:w="1149" w:type="dxa"/>
            <w:tcBorders>
              <w:top w:val="nil"/>
              <w:left w:val="single" w:sz="4" w:space="0" w:color="auto"/>
              <w:bottom w:val="single" w:sz="4" w:space="0" w:color="auto"/>
              <w:right w:val="single" w:sz="4" w:space="0" w:color="auto"/>
            </w:tcBorders>
            <w:shd w:val="clear" w:color="auto" w:fill="D9D9D9"/>
            <w:noWrap/>
            <w:vAlign w:val="bottom"/>
          </w:tcPr>
          <w:p w:rsidR="0066223E" w:rsidRPr="00880650" w:rsidRDefault="0066223E" w:rsidP="0095772B">
            <w:pPr>
              <w:spacing w:after="0" w:line="240" w:lineRule="auto"/>
              <w:contextualSpacing/>
              <w:rPr>
                <w:rFonts w:cs="Calibri"/>
                <w:b/>
                <w:bCs/>
                <w:color w:val="000000"/>
              </w:rPr>
            </w:pPr>
            <w:r w:rsidRPr="00880650">
              <w:rPr>
                <w:rFonts w:cs="Calibri"/>
                <w:b/>
                <w:bCs/>
                <w:color w:val="000000"/>
              </w:rPr>
              <w:t>Section</w:t>
            </w:r>
          </w:p>
        </w:tc>
        <w:tc>
          <w:tcPr>
            <w:tcW w:w="6946" w:type="dxa"/>
            <w:tcBorders>
              <w:top w:val="nil"/>
              <w:left w:val="nil"/>
              <w:bottom w:val="single" w:sz="4" w:space="0" w:color="auto"/>
              <w:right w:val="single" w:sz="4" w:space="0" w:color="auto"/>
            </w:tcBorders>
            <w:shd w:val="clear" w:color="auto" w:fill="D9D9D9"/>
            <w:noWrap/>
            <w:vAlign w:val="bottom"/>
          </w:tcPr>
          <w:p w:rsidR="0066223E" w:rsidRPr="00880650" w:rsidRDefault="0066223E" w:rsidP="0095772B">
            <w:pPr>
              <w:spacing w:after="0" w:line="240" w:lineRule="auto"/>
              <w:contextualSpacing/>
              <w:jc w:val="center"/>
              <w:rPr>
                <w:rFonts w:cs="Calibri"/>
                <w:b/>
                <w:bCs/>
                <w:color w:val="000000"/>
              </w:rPr>
            </w:pPr>
            <w:r w:rsidRPr="00880650">
              <w:rPr>
                <w:rFonts w:cs="Calibri"/>
                <w:b/>
                <w:bCs/>
                <w:color w:val="000000"/>
              </w:rPr>
              <w:t xml:space="preserve">Expertise </w:t>
            </w:r>
          </w:p>
        </w:tc>
        <w:tc>
          <w:tcPr>
            <w:tcW w:w="1318" w:type="dxa"/>
            <w:tcBorders>
              <w:top w:val="single" w:sz="4" w:space="0" w:color="auto"/>
              <w:left w:val="nil"/>
              <w:bottom w:val="single" w:sz="4" w:space="0" w:color="auto"/>
              <w:right w:val="single" w:sz="4" w:space="0" w:color="auto"/>
            </w:tcBorders>
            <w:shd w:val="clear" w:color="auto" w:fill="D9D9D9"/>
            <w:noWrap/>
            <w:vAlign w:val="bottom"/>
          </w:tcPr>
          <w:p w:rsidR="0066223E" w:rsidRPr="00880650" w:rsidRDefault="00CD50E7" w:rsidP="0095772B">
            <w:pPr>
              <w:spacing w:after="0" w:line="240" w:lineRule="auto"/>
              <w:contextualSpacing/>
              <w:jc w:val="center"/>
              <w:rPr>
                <w:rFonts w:cs="Calibri"/>
                <w:b/>
                <w:bCs/>
                <w:color w:val="000000"/>
              </w:rPr>
            </w:pPr>
            <w:r>
              <w:rPr>
                <w:rFonts w:cs="Calibri"/>
                <w:b/>
                <w:bCs/>
                <w:color w:val="000000"/>
              </w:rPr>
              <w:t>550</w:t>
            </w:r>
          </w:p>
        </w:tc>
      </w:tr>
      <w:tr w:rsidR="0066223E" w:rsidRPr="00880650" w:rsidTr="0095772B">
        <w:trPr>
          <w:trHeight w:val="335"/>
        </w:trPr>
        <w:tc>
          <w:tcPr>
            <w:tcW w:w="1149" w:type="dxa"/>
            <w:tcBorders>
              <w:top w:val="single" w:sz="4" w:space="0" w:color="auto"/>
              <w:left w:val="single" w:sz="4" w:space="0" w:color="auto"/>
              <w:bottom w:val="single" w:sz="4" w:space="0" w:color="auto"/>
              <w:right w:val="single" w:sz="4" w:space="0" w:color="auto"/>
            </w:tcBorders>
            <w:noWrap/>
            <w:vAlign w:val="center"/>
          </w:tcPr>
          <w:p w:rsidR="0066223E" w:rsidRPr="00880650" w:rsidRDefault="0066223E" w:rsidP="0095772B">
            <w:pPr>
              <w:spacing w:after="0" w:line="240" w:lineRule="auto"/>
              <w:contextualSpacing/>
              <w:jc w:val="center"/>
              <w:rPr>
                <w:rFonts w:cs="Calibri"/>
                <w:color w:val="000000"/>
                <w:highlight w:val="yellow"/>
              </w:rPr>
            </w:pPr>
            <w:r w:rsidRPr="00880650">
              <w:rPr>
                <w:rFonts w:cs="Calibri"/>
                <w:color w:val="000000"/>
              </w:rPr>
              <w:t>1.1</w:t>
            </w:r>
          </w:p>
        </w:tc>
        <w:tc>
          <w:tcPr>
            <w:tcW w:w="6946" w:type="dxa"/>
            <w:tcBorders>
              <w:top w:val="single" w:sz="4" w:space="0" w:color="auto"/>
              <w:left w:val="nil"/>
              <w:bottom w:val="single" w:sz="4" w:space="0" w:color="auto"/>
              <w:right w:val="single" w:sz="4" w:space="0" w:color="auto"/>
            </w:tcBorders>
            <w:vAlign w:val="center"/>
          </w:tcPr>
          <w:p w:rsidR="00CD50E7" w:rsidRDefault="00CD50E7" w:rsidP="00CD50E7">
            <w:pPr>
              <w:spacing w:after="0"/>
            </w:pPr>
            <w:r w:rsidRPr="00CD50E7">
              <w:rPr>
                <w:highlight w:val="yellow"/>
              </w:rPr>
              <w:t>Diplôme universitaire en santé publique, ou en médecine légale, ou en sciences humaines/ sciences politiques/ sciences sociales / statistique ou formation équivalente.</w:t>
            </w:r>
          </w:p>
          <w:p w:rsidR="0066223E" w:rsidRPr="00880650" w:rsidRDefault="0066223E" w:rsidP="0095772B">
            <w:pPr>
              <w:spacing w:after="0" w:line="240" w:lineRule="auto"/>
              <w:ind w:left="360"/>
              <w:jc w:val="both"/>
              <w:rPr>
                <w:color w:val="000000"/>
              </w:rPr>
            </w:pPr>
            <w:r w:rsidRPr="00880650">
              <w:rPr>
                <w:color w:val="000000"/>
              </w:rPr>
              <w:t>Niveau supérieur (bac +5 et plus)</w:t>
            </w:r>
          </w:p>
        </w:tc>
        <w:tc>
          <w:tcPr>
            <w:tcW w:w="1318" w:type="dxa"/>
            <w:tcBorders>
              <w:top w:val="single" w:sz="4" w:space="0" w:color="auto"/>
              <w:left w:val="nil"/>
              <w:bottom w:val="single" w:sz="4" w:space="0" w:color="auto"/>
              <w:right w:val="single" w:sz="4" w:space="0" w:color="auto"/>
            </w:tcBorders>
            <w:noWrap/>
          </w:tcPr>
          <w:p w:rsidR="0066223E" w:rsidRPr="00880650" w:rsidRDefault="0066223E" w:rsidP="0095772B">
            <w:pPr>
              <w:spacing w:after="0" w:line="240" w:lineRule="auto"/>
              <w:contextualSpacing/>
              <w:jc w:val="center"/>
              <w:rPr>
                <w:rFonts w:cs="Calibri"/>
                <w:b/>
                <w:bCs/>
                <w:color w:val="000000"/>
              </w:rPr>
            </w:pPr>
            <w:r w:rsidRPr="00880650">
              <w:rPr>
                <w:rFonts w:cs="Calibri"/>
                <w:b/>
                <w:bCs/>
                <w:color w:val="000000"/>
              </w:rPr>
              <w:t>100</w:t>
            </w:r>
          </w:p>
          <w:p w:rsidR="0066223E" w:rsidRPr="00880650" w:rsidRDefault="0066223E" w:rsidP="0095772B">
            <w:pPr>
              <w:spacing w:after="0" w:line="240" w:lineRule="auto"/>
              <w:contextualSpacing/>
              <w:jc w:val="center"/>
              <w:rPr>
                <w:rFonts w:cs="Calibri"/>
                <w:b/>
                <w:bCs/>
                <w:color w:val="000000"/>
              </w:rPr>
            </w:pPr>
          </w:p>
          <w:p w:rsidR="0066223E" w:rsidRPr="00880650" w:rsidRDefault="0066223E" w:rsidP="0095772B">
            <w:pPr>
              <w:spacing w:after="0" w:line="240" w:lineRule="auto"/>
              <w:contextualSpacing/>
              <w:jc w:val="center"/>
              <w:rPr>
                <w:rFonts w:cs="Calibri"/>
                <w:i/>
                <w:iCs/>
                <w:color w:val="000000"/>
                <w:highlight w:val="yellow"/>
              </w:rPr>
            </w:pPr>
          </w:p>
        </w:tc>
      </w:tr>
      <w:tr w:rsidR="0066223E" w:rsidRPr="00880650" w:rsidTr="0095772B">
        <w:trPr>
          <w:trHeight w:val="274"/>
        </w:trPr>
        <w:tc>
          <w:tcPr>
            <w:tcW w:w="1149" w:type="dxa"/>
            <w:tcBorders>
              <w:top w:val="single" w:sz="4" w:space="0" w:color="auto"/>
              <w:left w:val="single" w:sz="4" w:space="0" w:color="auto"/>
              <w:bottom w:val="single" w:sz="4" w:space="0" w:color="auto"/>
              <w:right w:val="single" w:sz="4" w:space="0" w:color="auto"/>
            </w:tcBorders>
            <w:noWrap/>
            <w:vAlign w:val="center"/>
          </w:tcPr>
          <w:p w:rsidR="0066223E" w:rsidRPr="00880650" w:rsidRDefault="0066223E" w:rsidP="0095772B">
            <w:pPr>
              <w:spacing w:after="0" w:line="240" w:lineRule="auto"/>
              <w:contextualSpacing/>
              <w:jc w:val="center"/>
              <w:rPr>
                <w:rFonts w:cs="Calibri"/>
                <w:color w:val="000000"/>
                <w:highlight w:val="yellow"/>
              </w:rPr>
            </w:pPr>
            <w:r w:rsidRPr="00880650">
              <w:rPr>
                <w:rFonts w:cs="Calibri"/>
                <w:color w:val="000000"/>
              </w:rPr>
              <w:t>1.2</w:t>
            </w:r>
          </w:p>
        </w:tc>
        <w:tc>
          <w:tcPr>
            <w:tcW w:w="6946" w:type="dxa"/>
            <w:tcBorders>
              <w:top w:val="single" w:sz="4" w:space="0" w:color="auto"/>
              <w:left w:val="nil"/>
              <w:right w:val="single" w:sz="4" w:space="0" w:color="auto"/>
            </w:tcBorders>
            <w:vAlign w:val="center"/>
          </w:tcPr>
          <w:p w:rsidR="0066223E" w:rsidRPr="00880650" w:rsidRDefault="0066223E" w:rsidP="0095772B">
            <w:pPr>
              <w:spacing w:after="0" w:line="240" w:lineRule="auto"/>
              <w:contextualSpacing/>
              <w:jc w:val="both"/>
            </w:pPr>
            <w:r w:rsidRPr="00880650">
              <w:t>Connaissance de la thématique des violences faites aux femmes et aux filles au Maroc, et des problématiques l</w:t>
            </w:r>
            <w:r>
              <w:t>iées à la prise en charge multi</w:t>
            </w:r>
            <w:r w:rsidRPr="00880650">
              <w:t>sectorielle des victimes en lien avec la prestation de services</w:t>
            </w:r>
          </w:p>
          <w:p w:rsidR="0066223E" w:rsidRPr="00880650" w:rsidRDefault="0066223E" w:rsidP="0066223E">
            <w:pPr>
              <w:pStyle w:val="ListParagraph"/>
              <w:numPr>
                <w:ilvl w:val="0"/>
                <w:numId w:val="14"/>
              </w:numPr>
              <w:spacing w:after="0" w:line="240" w:lineRule="auto"/>
              <w:jc w:val="both"/>
              <w:rPr>
                <w:color w:val="000000"/>
              </w:rPr>
            </w:pPr>
            <w:r w:rsidRPr="00880650">
              <w:rPr>
                <w:color w:val="000000"/>
              </w:rPr>
              <w:t>Grande (plus de 15 ans d’expérience)</w:t>
            </w:r>
          </w:p>
          <w:p w:rsidR="0066223E" w:rsidRPr="00880650" w:rsidRDefault="0066223E" w:rsidP="0066223E">
            <w:pPr>
              <w:pStyle w:val="ListParagraph"/>
              <w:numPr>
                <w:ilvl w:val="0"/>
                <w:numId w:val="14"/>
              </w:numPr>
              <w:spacing w:after="0" w:line="240" w:lineRule="auto"/>
              <w:jc w:val="both"/>
              <w:rPr>
                <w:color w:val="000000"/>
              </w:rPr>
            </w:pPr>
            <w:r w:rsidRPr="00880650">
              <w:rPr>
                <w:color w:val="000000"/>
              </w:rPr>
              <w:t>Assez bonne (entre 10 et 15 ans)</w:t>
            </w:r>
          </w:p>
          <w:p w:rsidR="0066223E" w:rsidRPr="00880650" w:rsidRDefault="0066223E" w:rsidP="0066223E">
            <w:pPr>
              <w:pStyle w:val="ListParagraph"/>
              <w:numPr>
                <w:ilvl w:val="0"/>
                <w:numId w:val="14"/>
              </w:numPr>
              <w:spacing w:after="0" w:line="240" w:lineRule="auto"/>
              <w:jc w:val="both"/>
              <w:rPr>
                <w:color w:val="000000"/>
              </w:rPr>
            </w:pPr>
            <w:r w:rsidRPr="00880650">
              <w:rPr>
                <w:color w:val="000000"/>
              </w:rPr>
              <w:t>Moyenne (entre 5 et 9 ans)</w:t>
            </w:r>
          </w:p>
          <w:p w:rsidR="0066223E" w:rsidRPr="00880650" w:rsidRDefault="0066223E" w:rsidP="0066223E">
            <w:pPr>
              <w:pStyle w:val="ListParagraph"/>
              <w:numPr>
                <w:ilvl w:val="0"/>
                <w:numId w:val="14"/>
              </w:numPr>
              <w:spacing w:after="0" w:line="240" w:lineRule="auto"/>
              <w:jc w:val="both"/>
              <w:rPr>
                <w:color w:val="000000"/>
              </w:rPr>
            </w:pPr>
            <w:r w:rsidRPr="00880650">
              <w:rPr>
                <w:color w:val="000000"/>
              </w:rPr>
              <w:t>Faible (moins de 5 ans)</w:t>
            </w:r>
          </w:p>
        </w:tc>
        <w:tc>
          <w:tcPr>
            <w:tcW w:w="1318" w:type="dxa"/>
            <w:tcBorders>
              <w:top w:val="single" w:sz="4" w:space="0" w:color="auto"/>
              <w:left w:val="nil"/>
              <w:right w:val="single" w:sz="4" w:space="0" w:color="auto"/>
            </w:tcBorders>
            <w:noWrap/>
          </w:tcPr>
          <w:p w:rsidR="0066223E" w:rsidRPr="00880650" w:rsidRDefault="0066223E" w:rsidP="0095772B">
            <w:pPr>
              <w:spacing w:after="0" w:line="240" w:lineRule="auto"/>
              <w:contextualSpacing/>
              <w:jc w:val="center"/>
              <w:rPr>
                <w:rFonts w:cs="Calibri"/>
                <w:b/>
                <w:bCs/>
                <w:color w:val="000000"/>
              </w:rPr>
            </w:pPr>
            <w:r w:rsidRPr="00880650">
              <w:rPr>
                <w:rFonts w:cs="Calibri"/>
                <w:b/>
                <w:bCs/>
                <w:color w:val="000000"/>
              </w:rPr>
              <w:t xml:space="preserve">300 </w:t>
            </w:r>
          </w:p>
          <w:p w:rsidR="0066223E" w:rsidRPr="00880650" w:rsidRDefault="0066223E" w:rsidP="0095772B">
            <w:pPr>
              <w:spacing w:after="0" w:line="240" w:lineRule="auto"/>
              <w:contextualSpacing/>
              <w:jc w:val="center"/>
              <w:rPr>
                <w:rFonts w:cs="Calibri"/>
                <w:color w:val="000000"/>
                <w:highlight w:val="yellow"/>
              </w:rPr>
            </w:pPr>
          </w:p>
          <w:p w:rsidR="0066223E" w:rsidRPr="00880650" w:rsidRDefault="0066223E" w:rsidP="0095772B">
            <w:pPr>
              <w:spacing w:after="0" w:line="240" w:lineRule="auto"/>
              <w:contextualSpacing/>
              <w:jc w:val="center"/>
              <w:rPr>
                <w:rFonts w:cs="Calibri"/>
                <w:color w:val="000000"/>
                <w:highlight w:val="yellow"/>
              </w:rPr>
            </w:pPr>
          </w:p>
          <w:p w:rsidR="0066223E" w:rsidRPr="00880650" w:rsidRDefault="0066223E" w:rsidP="0095772B">
            <w:pPr>
              <w:spacing w:after="0" w:line="240" w:lineRule="auto"/>
              <w:contextualSpacing/>
              <w:jc w:val="center"/>
              <w:rPr>
                <w:rFonts w:cs="Calibri"/>
                <w:i/>
                <w:iCs/>
                <w:color w:val="000000"/>
              </w:rPr>
            </w:pPr>
            <w:r w:rsidRPr="00880650">
              <w:rPr>
                <w:rFonts w:cs="Calibri"/>
                <w:i/>
                <w:iCs/>
                <w:color w:val="000000"/>
              </w:rPr>
              <w:t xml:space="preserve">150 </w:t>
            </w:r>
          </w:p>
          <w:p w:rsidR="0066223E" w:rsidRPr="00880650" w:rsidRDefault="0066223E" w:rsidP="0095772B">
            <w:pPr>
              <w:spacing w:after="0" w:line="240" w:lineRule="auto"/>
              <w:contextualSpacing/>
              <w:jc w:val="center"/>
              <w:rPr>
                <w:rFonts w:cs="Calibri"/>
                <w:i/>
                <w:iCs/>
                <w:color w:val="000000"/>
              </w:rPr>
            </w:pPr>
            <w:r w:rsidRPr="00880650">
              <w:rPr>
                <w:rFonts w:cs="Calibri"/>
                <w:i/>
                <w:iCs/>
                <w:color w:val="000000"/>
              </w:rPr>
              <w:t xml:space="preserve">100 </w:t>
            </w:r>
          </w:p>
          <w:p w:rsidR="0066223E" w:rsidRPr="00880650" w:rsidRDefault="0066223E" w:rsidP="0095772B">
            <w:pPr>
              <w:spacing w:after="0" w:line="240" w:lineRule="auto"/>
              <w:contextualSpacing/>
              <w:jc w:val="center"/>
              <w:rPr>
                <w:rFonts w:cs="Calibri"/>
                <w:i/>
                <w:iCs/>
                <w:color w:val="000000"/>
              </w:rPr>
            </w:pPr>
            <w:r w:rsidRPr="00880650">
              <w:rPr>
                <w:rFonts w:cs="Calibri"/>
                <w:i/>
                <w:iCs/>
                <w:color w:val="000000"/>
              </w:rPr>
              <w:t xml:space="preserve">50 </w:t>
            </w:r>
          </w:p>
          <w:p w:rsidR="0066223E" w:rsidRPr="00880650" w:rsidRDefault="0066223E" w:rsidP="0095772B">
            <w:pPr>
              <w:spacing w:after="0" w:line="240" w:lineRule="auto"/>
              <w:contextualSpacing/>
              <w:jc w:val="center"/>
              <w:rPr>
                <w:rFonts w:cs="Calibri"/>
                <w:i/>
                <w:iCs/>
                <w:color w:val="000000"/>
                <w:highlight w:val="yellow"/>
              </w:rPr>
            </w:pPr>
            <w:r w:rsidRPr="00880650">
              <w:rPr>
                <w:rFonts w:cs="Calibri"/>
                <w:i/>
                <w:iCs/>
                <w:color w:val="000000"/>
              </w:rPr>
              <w:t xml:space="preserve">25 </w:t>
            </w:r>
          </w:p>
        </w:tc>
      </w:tr>
      <w:tr w:rsidR="0066223E" w:rsidRPr="00880650" w:rsidTr="0095772B">
        <w:trPr>
          <w:trHeight w:val="407"/>
        </w:trPr>
        <w:tc>
          <w:tcPr>
            <w:tcW w:w="1149" w:type="dxa"/>
            <w:tcBorders>
              <w:top w:val="single" w:sz="4" w:space="0" w:color="auto"/>
              <w:left w:val="single" w:sz="4" w:space="0" w:color="auto"/>
              <w:bottom w:val="single" w:sz="4" w:space="0" w:color="auto"/>
              <w:right w:val="single" w:sz="4" w:space="0" w:color="auto"/>
            </w:tcBorders>
            <w:noWrap/>
            <w:vAlign w:val="center"/>
          </w:tcPr>
          <w:p w:rsidR="0066223E" w:rsidRPr="00880650" w:rsidRDefault="0066223E" w:rsidP="0095772B">
            <w:pPr>
              <w:spacing w:after="0" w:line="240" w:lineRule="auto"/>
              <w:contextualSpacing/>
              <w:jc w:val="center"/>
              <w:rPr>
                <w:rFonts w:cs="Calibri"/>
                <w:color w:val="000000"/>
              </w:rPr>
            </w:pPr>
            <w:r w:rsidRPr="00880650">
              <w:rPr>
                <w:rFonts w:cs="Calibri"/>
                <w:color w:val="000000"/>
              </w:rPr>
              <w:t>1.3</w:t>
            </w:r>
          </w:p>
        </w:tc>
        <w:tc>
          <w:tcPr>
            <w:tcW w:w="6946" w:type="dxa"/>
            <w:tcBorders>
              <w:top w:val="single" w:sz="4" w:space="0" w:color="auto"/>
              <w:left w:val="nil"/>
              <w:right w:val="single" w:sz="4" w:space="0" w:color="auto"/>
            </w:tcBorders>
            <w:vAlign w:val="center"/>
          </w:tcPr>
          <w:p w:rsidR="0066223E" w:rsidRPr="00880650" w:rsidRDefault="0066223E" w:rsidP="0095772B">
            <w:pPr>
              <w:autoSpaceDE w:val="0"/>
              <w:autoSpaceDN w:val="0"/>
              <w:adjustRightInd w:val="0"/>
              <w:spacing w:after="0" w:line="240" w:lineRule="auto"/>
              <w:contextualSpacing/>
              <w:jc w:val="both"/>
              <w:rPr>
                <w:rFonts w:cs="Calibri"/>
                <w:color w:val="000000"/>
              </w:rPr>
            </w:pPr>
            <w:r w:rsidRPr="00880650">
              <w:t xml:space="preserve">Expérience dans </w:t>
            </w:r>
            <w:r w:rsidRPr="00880650">
              <w:rPr>
                <w:rFonts w:cs="Calibri"/>
                <w:color w:val="000000"/>
              </w:rPr>
              <w:t>l’analyse des politiques publiques sociales au Maroc et des acteurs institutionnels et de la société civile</w:t>
            </w:r>
            <w:r>
              <w:rPr>
                <w:rFonts w:cs="Calibri"/>
                <w:color w:val="000000"/>
              </w:rPr>
              <w:t xml:space="preserve"> en matière du handicap</w:t>
            </w:r>
          </w:p>
          <w:p w:rsidR="0066223E" w:rsidRPr="00880650" w:rsidRDefault="0066223E" w:rsidP="0066223E">
            <w:pPr>
              <w:pStyle w:val="ListParagraph"/>
              <w:numPr>
                <w:ilvl w:val="0"/>
                <w:numId w:val="14"/>
              </w:numPr>
              <w:autoSpaceDE w:val="0"/>
              <w:autoSpaceDN w:val="0"/>
              <w:adjustRightInd w:val="0"/>
              <w:spacing w:after="0" w:line="240" w:lineRule="auto"/>
              <w:jc w:val="both"/>
              <w:rPr>
                <w:color w:val="000000"/>
              </w:rPr>
            </w:pPr>
            <w:r w:rsidRPr="00880650">
              <w:rPr>
                <w:color w:val="000000"/>
              </w:rPr>
              <w:t>Grande (plus de 15 ans d’expérience)</w:t>
            </w:r>
          </w:p>
          <w:p w:rsidR="0066223E" w:rsidRPr="00880650" w:rsidRDefault="0066223E" w:rsidP="0066223E">
            <w:pPr>
              <w:pStyle w:val="ListParagraph"/>
              <w:numPr>
                <w:ilvl w:val="0"/>
                <w:numId w:val="14"/>
              </w:numPr>
              <w:autoSpaceDE w:val="0"/>
              <w:autoSpaceDN w:val="0"/>
              <w:adjustRightInd w:val="0"/>
              <w:spacing w:after="0" w:line="240" w:lineRule="auto"/>
              <w:jc w:val="both"/>
              <w:rPr>
                <w:color w:val="000000"/>
              </w:rPr>
            </w:pPr>
            <w:r w:rsidRPr="00880650">
              <w:rPr>
                <w:color w:val="000000"/>
              </w:rPr>
              <w:t>Assez bonne (entre 10 et 15 ans)</w:t>
            </w:r>
          </w:p>
          <w:p w:rsidR="0066223E" w:rsidRPr="00880650" w:rsidRDefault="0066223E" w:rsidP="0066223E">
            <w:pPr>
              <w:pStyle w:val="ListParagraph"/>
              <w:numPr>
                <w:ilvl w:val="0"/>
                <w:numId w:val="14"/>
              </w:numPr>
              <w:autoSpaceDE w:val="0"/>
              <w:autoSpaceDN w:val="0"/>
              <w:adjustRightInd w:val="0"/>
              <w:spacing w:after="0" w:line="240" w:lineRule="auto"/>
              <w:jc w:val="both"/>
              <w:rPr>
                <w:color w:val="000000"/>
              </w:rPr>
            </w:pPr>
            <w:r w:rsidRPr="00880650">
              <w:rPr>
                <w:color w:val="000000"/>
              </w:rPr>
              <w:t>Moyenne (entre 5 et 9 ans)</w:t>
            </w:r>
          </w:p>
        </w:tc>
        <w:tc>
          <w:tcPr>
            <w:tcW w:w="1318" w:type="dxa"/>
            <w:tcBorders>
              <w:top w:val="single" w:sz="4" w:space="0" w:color="auto"/>
              <w:left w:val="nil"/>
              <w:right w:val="single" w:sz="4" w:space="0" w:color="auto"/>
            </w:tcBorders>
            <w:noWrap/>
          </w:tcPr>
          <w:p w:rsidR="0066223E" w:rsidRPr="00880650" w:rsidRDefault="0066223E" w:rsidP="0095772B">
            <w:pPr>
              <w:spacing w:after="0" w:line="240" w:lineRule="auto"/>
              <w:contextualSpacing/>
              <w:jc w:val="center"/>
              <w:rPr>
                <w:rFonts w:cs="Calibri"/>
                <w:b/>
                <w:bCs/>
                <w:color w:val="000000"/>
              </w:rPr>
            </w:pPr>
            <w:r w:rsidRPr="00880650">
              <w:rPr>
                <w:rFonts w:cs="Calibri"/>
                <w:b/>
                <w:bCs/>
                <w:color w:val="000000"/>
              </w:rPr>
              <w:t xml:space="preserve">150 </w:t>
            </w:r>
          </w:p>
          <w:p w:rsidR="0066223E" w:rsidRPr="00880650" w:rsidRDefault="0066223E" w:rsidP="0095772B">
            <w:pPr>
              <w:spacing w:after="0" w:line="240" w:lineRule="auto"/>
              <w:contextualSpacing/>
              <w:jc w:val="center"/>
              <w:rPr>
                <w:rFonts w:cs="Calibri"/>
                <w:color w:val="000000"/>
              </w:rPr>
            </w:pPr>
          </w:p>
          <w:p w:rsidR="0066223E" w:rsidRPr="00880650" w:rsidRDefault="0066223E" w:rsidP="0095772B">
            <w:pPr>
              <w:spacing w:after="0" w:line="240" w:lineRule="auto"/>
              <w:contextualSpacing/>
              <w:jc w:val="center"/>
              <w:rPr>
                <w:rFonts w:cs="Calibri"/>
                <w:i/>
                <w:iCs/>
                <w:color w:val="000000"/>
              </w:rPr>
            </w:pPr>
            <w:r w:rsidRPr="00880650">
              <w:rPr>
                <w:rFonts w:cs="Calibri"/>
                <w:i/>
                <w:iCs/>
                <w:color w:val="000000"/>
              </w:rPr>
              <w:t xml:space="preserve">100 </w:t>
            </w:r>
          </w:p>
          <w:p w:rsidR="0066223E" w:rsidRPr="00880650" w:rsidRDefault="0066223E" w:rsidP="0095772B">
            <w:pPr>
              <w:spacing w:after="0" w:line="240" w:lineRule="auto"/>
              <w:contextualSpacing/>
              <w:jc w:val="center"/>
              <w:rPr>
                <w:rFonts w:cs="Calibri"/>
                <w:i/>
                <w:iCs/>
                <w:color w:val="000000"/>
              </w:rPr>
            </w:pPr>
            <w:r w:rsidRPr="00880650">
              <w:rPr>
                <w:rFonts w:cs="Calibri"/>
                <w:i/>
                <w:iCs/>
                <w:color w:val="000000"/>
              </w:rPr>
              <w:t xml:space="preserve">50 </w:t>
            </w:r>
          </w:p>
          <w:p w:rsidR="0066223E" w:rsidRPr="00880650" w:rsidRDefault="0066223E" w:rsidP="0095772B">
            <w:pPr>
              <w:spacing w:after="0" w:line="240" w:lineRule="auto"/>
              <w:contextualSpacing/>
              <w:jc w:val="center"/>
              <w:rPr>
                <w:rFonts w:cs="Calibri"/>
                <w:i/>
                <w:iCs/>
                <w:color w:val="000000"/>
              </w:rPr>
            </w:pPr>
            <w:r w:rsidRPr="00880650">
              <w:rPr>
                <w:rFonts w:cs="Calibri"/>
                <w:i/>
                <w:iCs/>
                <w:color w:val="000000"/>
              </w:rPr>
              <w:t xml:space="preserve">25 </w:t>
            </w:r>
          </w:p>
        </w:tc>
      </w:tr>
      <w:tr w:rsidR="0066223E" w:rsidRPr="00880650" w:rsidTr="0095772B">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6223E" w:rsidRPr="00880650" w:rsidRDefault="0066223E" w:rsidP="0095772B">
            <w:pPr>
              <w:spacing w:after="0" w:line="240" w:lineRule="auto"/>
              <w:contextualSpacing/>
              <w:rPr>
                <w:rFonts w:cs="Calibri"/>
                <w:b/>
                <w:bCs/>
                <w:color w:val="000000"/>
              </w:rPr>
            </w:pPr>
            <w:r w:rsidRPr="00880650">
              <w:rPr>
                <w:rFonts w:cs="Calibri"/>
                <w:b/>
                <w:bCs/>
                <w:color w:val="000000"/>
              </w:rPr>
              <w:t>Section</w:t>
            </w:r>
          </w:p>
        </w:tc>
        <w:tc>
          <w:tcPr>
            <w:tcW w:w="6946" w:type="dxa"/>
            <w:tcBorders>
              <w:top w:val="single" w:sz="4" w:space="0" w:color="auto"/>
              <w:left w:val="nil"/>
              <w:bottom w:val="single" w:sz="4" w:space="0" w:color="auto"/>
              <w:right w:val="single" w:sz="4" w:space="0" w:color="auto"/>
            </w:tcBorders>
            <w:shd w:val="clear" w:color="auto" w:fill="D9D9D9"/>
            <w:noWrap/>
            <w:vAlign w:val="bottom"/>
          </w:tcPr>
          <w:p w:rsidR="0066223E" w:rsidRPr="00880650" w:rsidRDefault="0066223E" w:rsidP="0095772B">
            <w:pPr>
              <w:spacing w:after="0" w:line="240" w:lineRule="auto"/>
              <w:contextualSpacing/>
              <w:jc w:val="center"/>
              <w:rPr>
                <w:rFonts w:cs="Calibri"/>
                <w:b/>
                <w:bCs/>
                <w:color w:val="000000"/>
              </w:rPr>
            </w:pPr>
            <w:r w:rsidRPr="00880650">
              <w:rPr>
                <w:rFonts w:cs="Calibri"/>
                <w:b/>
                <w:bCs/>
                <w:color w:val="000000"/>
              </w:rPr>
              <w:t>Approche méthodologique</w:t>
            </w:r>
          </w:p>
        </w:tc>
        <w:tc>
          <w:tcPr>
            <w:tcW w:w="1318" w:type="dxa"/>
            <w:tcBorders>
              <w:top w:val="single" w:sz="4" w:space="0" w:color="auto"/>
              <w:left w:val="nil"/>
              <w:bottom w:val="single" w:sz="4" w:space="0" w:color="auto"/>
              <w:right w:val="single" w:sz="4" w:space="0" w:color="auto"/>
            </w:tcBorders>
            <w:shd w:val="clear" w:color="auto" w:fill="D9D9D9"/>
            <w:noWrap/>
            <w:vAlign w:val="bottom"/>
          </w:tcPr>
          <w:p w:rsidR="0066223E" w:rsidRPr="00880650" w:rsidRDefault="00CD50E7" w:rsidP="0095772B">
            <w:pPr>
              <w:spacing w:after="0" w:line="240" w:lineRule="auto"/>
              <w:contextualSpacing/>
              <w:jc w:val="center"/>
              <w:rPr>
                <w:rFonts w:cs="Calibri"/>
                <w:b/>
                <w:bCs/>
                <w:color w:val="000000"/>
              </w:rPr>
            </w:pPr>
            <w:r>
              <w:rPr>
                <w:rFonts w:cs="Calibri"/>
                <w:b/>
                <w:bCs/>
                <w:color w:val="000000"/>
              </w:rPr>
              <w:t>4</w:t>
            </w:r>
            <w:r w:rsidR="0066223E" w:rsidRPr="00880650">
              <w:rPr>
                <w:rFonts w:cs="Calibri"/>
                <w:b/>
                <w:bCs/>
                <w:color w:val="000000"/>
              </w:rPr>
              <w:t>50</w:t>
            </w:r>
          </w:p>
        </w:tc>
      </w:tr>
      <w:tr w:rsidR="0066223E" w:rsidRPr="00880650" w:rsidTr="0095772B">
        <w:trPr>
          <w:trHeight w:val="340"/>
        </w:trPr>
        <w:tc>
          <w:tcPr>
            <w:tcW w:w="1149" w:type="dxa"/>
            <w:tcBorders>
              <w:left w:val="single" w:sz="4" w:space="0" w:color="auto"/>
              <w:bottom w:val="single" w:sz="4" w:space="0" w:color="auto"/>
              <w:right w:val="single" w:sz="4" w:space="0" w:color="auto"/>
            </w:tcBorders>
            <w:noWrap/>
            <w:vAlign w:val="center"/>
          </w:tcPr>
          <w:p w:rsidR="0066223E" w:rsidRPr="00880650" w:rsidRDefault="0066223E" w:rsidP="0095772B">
            <w:pPr>
              <w:spacing w:after="0" w:line="240" w:lineRule="auto"/>
              <w:contextualSpacing/>
              <w:jc w:val="center"/>
              <w:rPr>
                <w:rFonts w:cs="Calibri"/>
                <w:color w:val="000000"/>
              </w:rPr>
            </w:pPr>
            <w:r w:rsidRPr="00880650">
              <w:rPr>
                <w:rFonts w:cs="Calibri"/>
                <w:color w:val="000000"/>
              </w:rPr>
              <w:t>2.1</w:t>
            </w:r>
          </w:p>
        </w:tc>
        <w:tc>
          <w:tcPr>
            <w:tcW w:w="6946" w:type="dxa"/>
            <w:tcBorders>
              <w:top w:val="nil"/>
              <w:left w:val="single" w:sz="4" w:space="0" w:color="auto"/>
              <w:bottom w:val="single" w:sz="4" w:space="0" w:color="auto"/>
              <w:right w:val="single" w:sz="4" w:space="0" w:color="auto"/>
            </w:tcBorders>
            <w:vAlign w:val="center"/>
          </w:tcPr>
          <w:p w:rsidR="0066223E" w:rsidRPr="00880650" w:rsidRDefault="0066223E" w:rsidP="0095772B">
            <w:pPr>
              <w:spacing w:after="0" w:line="240" w:lineRule="auto"/>
              <w:contextualSpacing/>
              <w:jc w:val="both"/>
              <w:rPr>
                <w:rFonts w:cs="Calibri"/>
              </w:rPr>
            </w:pPr>
            <w:r w:rsidRPr="00880650">
              <w:rPr>
                <w:rFonts w:cs="Calibri"/>
              </w:rPr>
              <w:t>L’approche méthodologique retrace les objectifs/résultats attendus de la prestation, en détaille le contenu et l’argumentaire et comporte une valeur ajoutée aux spécifications des termes de référence</w:t>
            </w:r>
          </w:p>
          <w:p w:rsidR="0066223E" w:rsidRPr="00880650" w:rsidRDefault="0066223E" w:rsidP="0095772B">
            <w:pPr>
              <w:spacing w:after="0" w:line="240" w:lineRule="auto"/>
              <w:contextualSpacing/>
              <w:jc w:val="both"/>
              <w:rPr>
                <w:rFonts w:cs="Calibri"/>
              </w:rPr>
            </w:pPr>
          </w:p>
          <w:p w:rsidR="0066223E" w:rsidRPr="00880650" w:rsidRDefault="0066223E" w:rsidP="0095772B">
            <w:pPr>
              <w:spacing w:after="0" w:line="240" w:lineRule="auto"/>
              <w:contextualSpacing/>
              <w:jc w:val="both"/>
              <w:rPr>
                <w:rFonts w:cs="Calibri"/>
              </w:rPr>
            </w:pPr>
            <w:r w:rsidRPr="00880650">
              <w:rPr>
                <w:rFonts w:cs="Calibri"/>
              </w:rPr>
              <w:t>L’approche méthodologique retrace les objectifs/résultats de la prestation et en détaille le contenu et l’argumentaire</w:t>
            </w:r>
          </w:p>
          <w:p w:rsidR="0066223E" w:rsidRPr="00880650" w:rsidRDefault="0066223E" w:rsidP="0095772B">
            <w:pPr>
              <w:spacing w:after="0" w:line="240" w:lineRule="auto"/>
              <w:contextualSpacing/>
              <w:jc w:val="both"/>
              <w:rPr>
                <w:rFonts w:cs="Calibri"/>
              </w:rPr>
            </w:pPr>
          </w:p>
          <w:p w:rsidR="0066223E" w:rsidRPr="00880650" w:rsidRDefault="0066223E" w:rsidP="0095772B">
            <w:pPr>
              <w:spacing w:after="0" w:line="240" w:lineRule="auto"/>
              <w:contextualSpacing/>
              <w:jc w:val="both"/>
              <w:rPr>
                <w:rFonts w:cs="Calibri"/>
              </w:rPr>
            </w:pPr>
            <w:r w:rsidRPr="00880650">
              <w:rPr>
                <w:rFonts w:cs="Calibri"/>
              </w:rPr>
              <w:t>L’approche méthodologique retrace les objectifs de la prestation, sans en détailler le contenu ou l’argumentaire et se limite aux termes de référence</w:t>
            </w:r>
          </w:p>
          <w:p w:rsidR="0066223E" w:rsidRPr="00880650" w:rsidRDefault="0066223E" w:rsidP="0095772B">
            <w:pPr>
              <w:spacing w:after="0" w:line="240" w:lineRule="auto"/>
              <w:contextualSpacing/>
              <w:jc w:val="both"/>
              <w:rPr>
                <w:rFonts w:cs="Calibri"/>
              </w:rPr>
            </w:pPr>
          </w:p>
          <w:p w:rsidR="0066223E" w:rsidRPr="00880650" w:rsidRDefault="0066223E" w:rsidP="0095772B">
            <w:pPr>
              <w:spacing w:after="0" w:line="240" w:lineRule="auto"/>
              <w:contextualSpacing/>
              <w:jc w:val="both"/>
              <w:rPr>
                <w:rFonts w:cs="Calibri"/>
              </w:rPr>
            </w:pPr>
            <w:r w:rsidRPr="00880650">
              <w:rPr>
                <w:rFonts w:cs="Calibri"/>
              </w:rPr>
              <w:t>L’approche méthodologique est incohérente et/ou non conforme aux termes de référence</w:t>
            </w:r>
          </w:p>
        </w:tc>
        <w:tc>
          <w:tcPr>
            <w:tcW w:w="1318" w:type="dxa"/>
            <w:tcBorders>
              <w:top w:val="nil"/>
              <w:left w:val="single" w:sz="4" w:space="0" w:color="auto"/>
              <w:bottom w:val="single" w:sz="4" w:space="0" w:color="auto"/>
              <w:right w:val="single" w:sz="4" w:space="0" w:color="auto"/>
            </w:tcBorders>
            <w:noWrap/>
          </w:tcPr>
          <w:p w:rsidR="0066223E" w:rsidRPr="00880650" w:rsidRDefault="00CD50E7" w:rsidP="0095772B">
            <w:pPr>
              <w:spacing w:after="0" w:line="240" w:lineRule="auto"/>
              <w:contextualSpacing/>
              <w:jc w:val="center"/>
              <w:rPr>
                <w:rFonts w:cs="Calibri"/>
                <w:i/>
                <w:iCs/>
                <w:color w:val="000000"/>
              </w:rPr>
            </w:pPr>
            <w:r>
              <w:rPr>
                <w:rFonts w:cs="Calibri"/>
                <w:i/>
                <w:iCs/>
                <w:color w:val="000000"/>
              </w:rPr>
              <w:t>450</w:t>
            </w:r>
          </w:p>
          <w:p w:rsidR="0066223E" w:rsidRPr="00880650" w:rsidRDefault="0066223E" w:rsidP="0095772B">
            <w:pPr>
              <w:spacing w:after="0" w:line="240" w:lineRule="auto"/>
              <w:contextualSpacing/>
              <w:jc w:val="center"/>
              <w:rPr>
                <w:rFonts w:cs="Calibri"/>
                <w:i/>
                <w:iCs/>
                <w:color w:val="000000"/>
              </w:rPr>
            </w:pPr>
          </w:p>
          <w:p w:rsidR="0066223E" w:rsidRPr="00880650" w:rsidRDefault="0066223E" w:rsidP="0095772B">
            <w:pPr>
              <w:spacing w:after="0" w:line="240" w:lineRule="auto"/>
              <w:contextualSpacing/>
              <w:jc w:val="center"/>
              <w:rPr>
                <w:rFonts w:cs="Calibri"/>
                <w:i/>
                <w:iCs/>
                <w:color w:val="000000"/>
              </w:rPr>
            </w:pPr>
          </w:p>
          <w:p w:rsidR="0066223E" w:rsidRPr="00880650" w:rsidRDefault="0066223E" w:rsidP="0095772B">
            <w:pPr>
              <w:spacing w:after="0" w:line="240" w:lineRule="auto"/>
              <w:contextualSpacing/>
              <w:jc w:val="center"/>
              <w:rPr>
                <w:rFonts w:cs="Calibri"/>
                <w:i/>
                <w:iCs/>
                <w:color w:val="000000"/>
              </w:rPr>
            </w:pPr>
          </w:p>
          <w:p w:rsidR="0066223E" w:rsidRPr="00880650" w:rsidRDefault="00CD50E7" w:rsidP="0095772B">
            <w:pPr>
              <w:spacing w:after="0" w:line="240" w:lineRule="auto"/>
              <w:contextualSpacing/>
              <w:jc w:val="center"/>
              <w:rPr>
                <w:rFonts w:cs="Calibri"/>
                <w:i/>
                <w:iCs/>
                <w:color w:val="000000"/>
              </w:rPr>
            </w:pPr>
            <w:r>
              <w:rPr>
                <w:rFonts w:cs="Calibri"/>
                <w:i/>
                <w:iCs/>
                <w:color w:val="000000"/>
              </w:rPr>
              <w:t>2</w:t>
            </w:r>
            <w:r w:rsidR="0066223E" w:rsidRPr="00880650">
              <w:rPr>
                <w:rFonts w:cs="Calibri"/>
                <w:i/>
                <w:iCs/>
                <w:color w:val="000000"/>
              </w:rPr>
              <w:t xml:space="preserve">00 </w:t>
            </w:r>
          </w:p>
          <w:p w:rsidR="0066223E" w:rsidRPr="00880650" w:rsidRDefault="0066223E" w:rsidP="0095772B">
            <w:pPr>
              <w:spacing w:after="0" w:line="240" w:lineRule="auto"/>
              <w:contextualSpacing/>
              <w:jc w:val="center"/>
              <w:rPr>
                <w:rFonts w:cs="Calibri"/>
                <w:i/>
                <w:iCs/>
                <w:color w:val="000000"/>
              </w:rPr>
            </w:pPr>
          </w:p>
          <w:p w:rsidR="0066223E" w:rsidRPr="00880650" w:rsidRDefault="0066223E" w:rsidP="0095772B">
            <w:pPr>
              <w:spacing w:after="0" w:line="240" w:lineRule="auto"/>
              <w:contextualSpacing/>
              <w:jc w:val="center"/>
              <w:rPr>
                <w:rFonts w:cs="Calibri"/>
                <w:i/>
                <w:iCs/>
                <w:color w:val="000000"/>
              </w:rPr>
            </w:pPr>
          </w:p>
          <w:p w:rsidR="0066223E" w:rsidRPr="00880650" w:rsidRDefault="00CD50E7" w:rsidP="0095772B">
            <w:pPr>
              <w:spacing w:after="0" w:line="240" w:lineRule="auto"/>
              <w:contextualSpacing/>
              <w:jc w:val="center"/>
              <w:rPr>
                <w:rFonts w:cs="Calibri"/>
                <w:i/>
                <w:iCs/>
                <w:color w:val="000000"/>
              </w:rPr>
            </w:pPr>
            <w:r>
              <w:rPr>
                <w:rFonts w:cs="Calibri"/>
                <w:i/>
                <w:iCs/>
                <w:color w:val="000000"/>
              </w:rPr>
              <w:t>100</w:t>
            </w:r>
          </w:p>
          <w:p w:rsidR="0066223E" w:rsidRPr="00880650" w:rsidRDefault="0066223E" w:rsidP="0095772B">
            <w:pPr>
              <w:spacing w:after="0" w:line="240" w:lineRule="auto"/>
              <w:contextualSpacing/>
              <w:jc w:val="center"/>
              <w:rPr>
                <w:rFonts w:cs="Calibri"/>
                <w:i/>
                <w:iCs/>
                <w:color w:val="000000"/>
              </w:rPr>
            </w:pPr>
          </w:p>
          <w:p w:rsidR="0066223E" w:rsidRPr="00880650" w:rsidRDefault="0066223E" w:rsidP="0095772B">
            <w:pPr>
              <w:spacing w:after="0" w:line="240" w:lineRule="auto"/>
              <w:contextualSpacing/>
              <w:jc w:val="center"/>
              <w:rPr>
                <w:rFonts w:cs="Calibri"/>
                <w:i/>
                <w:iCs/>
                <w:color w:val="000000"/>
              </w:rPr>
            </w:pPr>
          </w:p>
          <w:p w:rsidR="0066223E" w:rsidRPr="00880650" w:rsidRDefault="0066223E" w:rsidP="0095772B">
            <w:pPr>
              <w:spacing w:after="0" w:line="240" w:lineRule="auto"/>
              <w:contextualSpacing/>
              <w:jc w:val="center"/>
              <w:rPr>
                <w:rFonts w:cs="Calibri"/>
                <w:i/>
                <w:iCs/>
                <w:color w:val="000000"/>
              </w:rPr>
            </w:pPr>
            <w:r w:rsidRPr="00880650">
              <w:rPr>
                <w:rFonts w:cs="Calibri"/>
                <w:i/>
                <w:iCs/>
                <w:color w:val="000000"/>
              </w:rPr>
              <w:t>0</w:t>
            </w:r>
          </w:p>
        </w:tc>
      </w:tr>
    </w:tbl>
    <w:p w:rsidR="0066223E" w:rsidRDefault="0066223E" w:rsidP="0066223E">
      <w:pPr>
        <w:spacing w:after="0" w:line="240" w:lineRule="auto"/>
        <w:contextualSpacing/>
        <w:rPr>
          <w:b/>
          <w:bCs/>
          <w:lang w:val="en-US"/>
        </w:rPr>
      </w:pPr>
    </w:p>
    <w:p w:rsidR="0066223E" w:rsidRDefault="0066223E" w:rsidP="0066223E">
      <w:pPr>
        <w:pStyle w:val="ListParagraph"/>
        <w:numPr>
          <w:ilvl w:val="0"/>
          <w:numId w:val="16"/>
        </w:numPr>
        <w:autoSpaceDE w:val="0"/>
        <w:autoSpaceDN w:val="0"/>
        <w:adjustRightInd w:val="0"/>
        <w:spacing w:after="0" w:line="240" w:lineRule="auto"/>
        <w:jc w:val="both"/>
        <w:rPr>
          <w:b/>
          <w:bCs/>
        </w:rPr>
      </w:pPr>
      <w:r w:rsidRPr="00931FE1">
        <w:rPr>
          <w:b/>
          <w:bCs/>
        </w:rPr>
        <w:t>Analyse technico-financière</w:t>
      </w:r>
    </w:p>
    <w:p w:rsidR="0066223E" w:rsidRDefault="0066223E" w:rsidP="0066223E">
      <w:pPr>
        <w:spacing w:after="0" w:line="240" w:lineRule="auto"/>
        <w:contextualSpacing/>
        <w:jc w:val="both"/>
      </w:pPr>
      <w:r w:rsidRPr="00D56CB2">
        <w:t xml:space="preserve">Les propositions financières seront évaluées à </w:t>
      </w:r>
      <w:r>
        <w:t>l’issue de l'évaluation technique selon le système de pondération suivant :</w:t>
      </w:r>
    </w:p>
    <w:p w:rsidR="0066223E" w:rsidRDefault="0066223E" w:rsidP="0066223E">
      <w:pPr>
        <w:spacing w:after="0" w:line="240" w:lineRule="auto"/>
        <w:contextualSpacing/>
        <w:jc w:val="both"/>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tblGrid>
      <w:tr w:rsidR="0066223E" w:rsidRPr="00880650" w:rsidTr="0095772B">
        <w:tc>
          <w:tcPr>
            <w:tcW w:w="4962" w:type="dxa"/>
          </w:tcPr>
          <w:p w:rsidR="0066223E" w:rsidRPr="00880650" w:rsidRDefault="0066223E" w:rsidP="0095772B">
            <w:pPr>
              <w:spacing w:after="0" w:line="240" w:lineRule="auto"/>
              <w:contextualSpacing/>
            </w:pPr>
            <w:r w:rsidRPr="00880650">
              <w:t>Points techniques minimum requis</w:t>
            </w:r>
          </w:p>
        </w:tc>
        <w:tc>
          <w:tcPr>
            <w:tcW w:w="992" w:type="dxa"/>
          </w:tcPr>
          <w:p w:rsidR="0066223E" w:rsidRPr="00880650" w:rsidRDefault="0066223E" w:rsidP="0095772B">
            <w:pPr>
              <w:spacing w:after="0" w:line="240" w:lineRule="auto"/>
              <w:contextualSpacing/>
            </w:pPr>
            <w:r w:rsidRPr="00880650">
              <w:t>700</w:t>
            </w:r>
          </w:p>
        </w:tc>
      </w:tr>
      <w:tr w:rsidR="0066223E" w:rsidRPr="00880650" w:rsidTr="0095772B">
        <w:tc>
          <w:tcPr>
            <w:tcW w:w="4962" w:type="dxa"/>
          </w:tcPr>
          <w:p w:rsidR="0066223E" w:rsidRPr="00880650" w:rsidRDefault="0066223E" w:rsidP="0095772B">
            <w:pPr>
              <w:spacing w:after="0" w:line="240" w:lineRule="auto"/>
              <w:contextualSpacing/>
            </w:pPr>
            <w:r w:rsidRPr="00880650">
              <w:t>Poids de la note technique dans la décision finale</w:t>
            </w:r>
          </w:p>
        </w:tc>
        <w:tc>
          <w:tcPr>
            <w:tcW w:w="992" w:type="dxa"/>
          </w:tcPr>
          <w:p w:rsidR="0066223E" w:rsidRPr="00880650" w:rsidRDefault="0066223E" w:rsidP="0095772B">
            <w:pPr>
              <w:spacing w:after="0" w:line="240" w:lineRule="auto"/>
              <w:contextualSpacing/>
            </w:pPr>
            <w:r w:rsidRPr="00880650">
              <w:t>70%</w:t>
            </w:r>
          </w:p>
        </w:tc>
      </w:tr>
      <w:tr w:rsidR="0066223E" w:rsidRPr="00880650" w:rsidTr="0095772B">
        <w:tc>
          <w:tcPr>
            <w:tcW w:w="4962" w:type="dxa"/>
          </w:tcPr>
          <w:p w:rsidR="0066223E" w:rsidRPr="00880650" w:rsidRDefault="0066223E" w:rsidP="0095772B">
            <w:pPr>
              <w:spacing w:after="0" w:line="240" w:lineRule="auto"/>
              <w:contextualSpacing/>
            </w:pPr>
            <w:r w:rsidRPr="00880650">
              <w:t xml:space="preserve">Poids de la note financière dans la décision finale </w:t>
            </w:r>
          </w:p>
        </w:tc>
        <w:tc>
          <w:tcPr>
            <w:tcW w:w="992" w:type="dxa"/>
          </w:tcPr>
          <w:p w:rsidR="0066223E" w:rsidRPr="00880650" w:rsidRDefault="0066223E" w:rsidP="0095772B">
            <w:pPr>
              <w:spacing w:after="0" w:line="240" w:lineRule="auto"/>
              <w:contextualSpacing/>
            </w:pPr>
            <w:r w:rsidRPr="00880650">
              <w:t>30%</w:t>
            </w:r>
          </w:p>
        </w:tc>
      </w:tr>
    </w:tbl>
    <w:p w:rsidR="0066223E" w:rsidRPr="00793903" w:rsidRDefault="0066223E" w:rsidP="0066223E">
      <w:pPr>
        <w:spacing w:after="0" w:line="240" w:lineRule="auto"/>
        <w:contextualSpacing/>
        <w:rPr>
          <w:b/>
          <w:bCs/>
        </w:rPr>
      </w:pPr>
    </w:p>
    <w:p w:rsidR="00ED5139" w:rsidRDefault="00ED5139" w:rsidP="00534A10">
      <w:pPr>
        <w:rPr>
          <w:b/>
          <w:bCs/>
          <w:lang w:val="en-US"/>
        </w:rPr>
      </w:pPr>
    </w:p>
    <w:p w:rsidR="00ED5139" w:rsidRDefault="00ED5139" w:rsidP="00534A10">
      <w:pPr>
        <w:rPr>
          <w:b/>
          <w:bCs/>
          <w:lang w:val="en-US"/>
        </w:rPr>
      </w:pPr>
    </w:p>
    <w:p w:rsidR="00FB2E77" w:rsidRDefault="00FB2E77" w:rsidP="00534A10">
      <w:pPr>
        <w:rPr>
          <w:b/>
        </w:rPr>
      </w:pPr>
      <w:r>
        <w:rPr>
          <w:b/>
        </w:rPr>
        <w:t>10. Modalités de soumission</w:t>
      </w:r>
    </w:p>
    <w:p w:rsidR="00ED5139" w:rsidRDefault="00ED5139" w:rsidP="00ED5139">
      <w:pPr>
        <w:spacing w:after="0" w:line="240" w:lineRule="auto"/>
        <w:contextualSpacing/>
        <w:jc w:val="both"/>
      </w:pPr>
      <w:r w:rsidRPr="002426FC">
        <w:t>Le dossier de soumission doit comprendre :</w:t>
      </w:r>
    </w:p>
    <w:p w:rsidR="00ED5139" w:rsidRDefault="00ED5139" w:rsidP="00ED5139">
      <w:pPr>
        <w:pStyle w:val="ListParagraph"/>
        <w:numPr>
          <w:ilvl w:val="0"/>
          <w:numId w:val="14"/>
        </w:numPr>
        <w:spacing w:after="0" w:line="240" w:lineRule="auto"/>
        <w:jc w:val="both"/>
      </w:pPr>
      <w:r>
        <w:t>Une note méthodologique détaillée décrivant l’approche et les outils préconisés pour la réalisation de la prestation et un calendrier d’exécution ;</w:t>
      </w:r>
    </w:p>
    <w:p w:rsidR="00ED5139" w:rsidRDefault="00ED5139" w:rsidP="00ED5139">
      <w:pPr>
        <w:pStyle w:val="ListParagraph"/>
        <w:numPr>
          <w:ilvl w:val="0"/>
          <w:numId w:val="14"/>
        </w:numPr>
        <w:spacing w:after="0" w:line="240" w:lineRule="auto"/>
        <w:jc w:val="both"/>
      </w:pPr>
      <w:r>
        <w:t>Le CV détaillé du consultant(e);</w:t>
      </w:r>
    </w:p>
    <w:p w:rsidR="00ED5139" w:rsidRDefault="00ED5139" w:rsidP="00ED5139">
      <w:pPr>
        <w:pStyle w:val="ListParagraph"/>
        <w:numPr>
          <w:ilvl w:val="0"/>
          <w:numId w:val="14"/>
        </w:numPr>
        <w:spacing w:after="0" w:line="240" w:lineRule="auto"/>
        <w:jc w:val="both"/>
      </w:pPr>
      <w:r>
        <w:t>Une proposition financière détaillée en HT et TTC incluant tous les frais  liés à la mission.</w:t>
      </w:r>
    </w:p>
    <w:p w:rsidR="00ED5139" w:rsidRDefault="00ED5139" w:rsidP="00ED5139">
      <w:pPr>
        <w:spacing w:after="0" w:line="240" w:lineRule="auto"/>
        <w:contextualSpacing/>
        <w:jc w:val="both"/>
      </w:pPr>
    </w:p>
    <w:p w:rsidR="00ED5139" w:rsidRDefault="00ED5139" w:rsidP="00ED5139">
      <w:pPr>
        <w:spacing w:after="0" w:line="240" w:lineRule="auto"/>
        <w:contextualSpacing/>
        <w:jc w:val="both"/>
        <w:rPr>
          <w:b/>
          <w:bCs/>
        </w:rPr>
      </w:pPr>
      <w:r>
        <w:rPr>
          <w:b/>
          <w:bCs/>
        </w:rPr>
        <w:t>Dépôt de dossier de soumission</w:t>
      </w:r>
    </w:p>
    <w:p w:rsidR="00ED5139" w:rsidRDefault="00ED5139" w:rsidP="00ED5139">
      <w:pPr>
        <w:spacing w:after="0" w:line="240" w:lineRule="auto"/>
        <w:contextualSpacing/>
        <w:jc w:val="both"/>
        <w:rPr>
          <w:b/>
          <w:bCs/>
        </w:rPr>
      </w:pPr>
      <w:r>
        <w:t>La proposition complète sera envoyée par courrier électronique à l’adresse : jamai</w:t>
      </w:r>
      <w:r>
        <w:rPr>
          <w:rFonts w:ascii="inherit" w:hAnsi="inherit"/>
          <w:shd w:val="clear" w:color="auto" w:fill="FFFFFF"/>
        </w:rPr>
        <w:t>@unfpa.org</w:t>
      </w:r>
    </w:p>
    <w:p w:rsidR="00ED5139" w:rsidRPr="005008D6" w:rsidRDefault="00ED5139" w:rsidP="00ED5139">
      <w:pPr>
        <w:spacing w:after="0" w:line="240" w:lineRule="auto"/>
        <w:contextualSpacing/>
        <w:jc w:val="both"/>
        <w:rPr>
          <w:b/>
          <w:bCs/>
        </w:rPr>
      </w:pPr>
      <w:r w:rsidRPr="005008D6">
        <w:rPr>
          <w:b/>
          <w:bCs/>
        </w:rPr>
        <w:t>Délai de soumission</w:t>
      </w:r>
    </w:p>
    <w:p w:rsidR="00ED5139" w:rsidRPr="005008D6" w:rsidRDefault="00ED5139" w:rsidP="00ED5139">
      <w:pPr>
        <w:spacing w:after="0" w:line="240" w:lineRule="auto"/>
        <w:contextualSpacing/>
        <w:jc w:val="both"/>
      </w:pPr>
      <w:r>
        <w:t xml:space="preserve">Les propositions doivent être soumises au plus tard </w:t>
      </w:r>
      <w:r w:rsidRPr="00FD5113">
        <w:rPr>
          <w:b/>
          <w:bCs/>
          <w:u w:val="single"/>
        </w:rPr>
        <w:t xml:space="preserve">le </w:t>
      </w:r>
      <w:r>
        <w:rPr>
          <w:b/>
          <w:bCs/>
          <w:u w:val="single"/>
        </w:rPr>
        <w:t>06 Septembre  2019</w:t>
      </w:r>
      <w:r w:rsidRPr="00FD5113">
        <w:rPr>
          <w:b/>
          <w:bCs/>
          <w:u w:val="single"/>
        </w:rPr>
        <w:t xml:space="preserve"> avant 16</w:t>
      </w:r>
      <w:r>
        <w:rPr>
          <w:b/>
          <w:bCs/>
          <w:u w:val="single"/>
        </w:rPr>
        <w:t xml:space="preserve"> </w:t>
      </w:r>
      <w:r w:rsidRPr="00FD5113">
        <w:rPr>
          <w:b/>
          <w:bCs/>
          <w:u w:val="single"/>
        </w:rPr>
        <w:t>heures.</w:t>
      </w:r>
    </w:p>
    <w:p w:rsidR="00ED5139" w:rsidRPr="00534A10" w:rsidRDefault="00ED5139" w:rsidP="00534A10">
      <w:pPr>
        <w:rPr>
          <w:b/>
        </w:rPr>
      </w:pPr>
    </w:p>
    <w:p w:rsidR="00534A10" w:rsidRDefault="00534A10" w:rsidP="00534A10"/>
    <w:p w:rsidR="00534A10" w:rsidRDefault="00534A10" w:rsidP="00534A10"/>
    <w:sectPr w:rsidR="00534A10" w:rsidSect="0058165F">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74" w:rsidRDefault="00745474" w:rsidP="00CC09D1">
      <w:pPr>
        <w:spacing w:after="0" w:line="240" w:lineRule="auto"/>
      </w:pPr>
      <w:r>
        <w:separator/>
      </w:r>
    </w:p>
  </w:endnote>
  <w:endnote w:type="continuationSeparator" w:id="0">
    <w:p w:rsidR="00745474" w:rsidRDefault="00745474" w:rsidP="00CC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39" w:rsidRDefault="003F4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474121"/>
      <w:docPartObj>
        <w:docPartGallery w:val="Page Numbers (Bottom of Page)"/>
        <w:docPartUnique/>
      </w:docPartObj>
    </w:sdtPr>
    <w:sdtEndPr/>
    <w:sdtContent>
      <w:sdt>
        <w:sdtPr>
          <w:id w:val="860082579"/>
          <w:docPartObj>
            <w:docPartGallery w:val="Page Numbers (Top of Page)"/>
            <w:docPartUnique/>
          </w:docPartObj>
        </w:sdtPr>
        <w:sdtEndPr/>
        <w:sdtContent>
          <w:p w:rsidR="00CC09D1" w:rsidRDefault="00CC09D1">
            <w:pPr>
              <w:pStyle w:val="Footer"/>
              <w:jc w:val="right"/>
            </w:pPr>
            <w:r>
              <w:t xml:space="preserve">Page </w:t>
            </w:r>
            <w:r w:rsidR="009014F9">
              <w:rPr>
                <w:b/>
                <w:bCs/>
                <w:sz w:val="24"/>
                <w:szCs w:val="24"/>
              </w:rPr>
              <w:fldChar w:fldCharType="begin"/>
            </w:r>
            <w:r>
              <w:rPr>
                <w:b/>
                <w:bCs/>
              </w:rPr>
              <w:instrText xml:space="preserve"> PAGE </w:instrText>
            </w:r>
            <w:r w:rsidR="009014F9">
              <w:rPr>
                <w:b/>
                <w:bCs/>
                <w:sz w:val="24"/>
                <w:szCs w:val="24"/>
              </w:rPr>
              <w:fldChar w:fldCharType="separate"/>
            </w:r>
            <w:r w:rsidR="009E266C">
              <w:rPr>
                <w:b/>
                <w:bCs/>
                <w:noProof/>
              </w:rPr>
              <w:t>4</w:t>
            </w:r>
            <w:r w:rsidR="009014F9">
              <w:rPr>
                <w:b/>
                <w:bCs/>
                <w:sz w:val="24"/>
                <w:szCs w:val="24"/>
              </w:rPr>
              <w:fldChar w:fldCharType="end"/>
            </w:r>
            <w:r>
              <w:t xml:space="preserve"> of </w:t>
            </w:r>
            <w:r w:rsidR="009014F9">
              <w:rPr>
                <w:b/>
                <w:bCs/>
                <w:sz w:val="24"/>
                <w:szCs w:val="24"/>
              </w:rPr>
              <w:fldChar w:fldCharType="begin"/>
            </w:r>
            <w:r>
              <w:rPr>
                <w:b/>
                <w:bCs/>
              </w:rPr>
              <w:instrText xml:space="preserve"> NUMPAGES  </w:instrText>
            </w:r>
            <w:r w:rsidR="009014F9">
              <w:rPr>
                <w:b/>
                <w:bCs/>
                <w:sz w:val="24"/>
                <w:szCs w:val="24"/>
              </w:rPr>
              <w:fldChar w:fldCharType="separate"/>
            </w:r>
            <w:r w:rsidR="009E266C">
              <w:rPr>
                <w:b/>
                <w:bCs/>
                <w:noProof/>
              </w:rPr>
              <w:t>6</w:t>
            </w:r>
            <w:r w:rsidR="009014F9">
              <w:rPr>
                <w:b/>
                <w:bCs/>
                <w:sz w:val="24"/>
                <w:szCs w:val="24"/>
              </w:rPr>
              <w:fldChar w:fldCharType="end"/>
            </w:r>
          </w:p>
        </w:sdtContent>
      </w:sdt>
    </w:sdtContent>
  </w:sdt>
  <w:p w:rsidR="00CC09D1" w:rsidRDefault="00CC0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39" w:rsidRDefault="003F4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74" w:rsidRDefault="00745474" w:rsidP="00CC09D1">
      <w:pPr>
        <w:spacing w:after="0" w:line="240" w:lineRule="auto"/>
      </w:pPr>
      <w:r>
        <w:separator/>
      </w:r>
    </w:p>
  </w:footnote>
  <w:footnote w:type="continuationSeparator" w:id="0">
    <w:p w:rsidR="00745474" w:rsidRDefault="00745474" w:rsidP="00CC09D1">
      <w:pPr>
        <w:spacing w:after="0" w:line="240" w:lineRule="auto"/>
      </w:pPr>
      <w:r>
        <w:continuationSeparator/>
      </w:r>
    </w:p>
  </w:footnote>
  <w:footnote w:id="1">
    <w:p w:rsidR="00CC09D1" w:rsidRPr="0058165F" w:rsidRDefault="00CC09D1" w:rsidP="0058165F">
      <w:pPr>
        <w:pStyle w:val="FootnoteText"/>
        <w:rPr>
          <w:sz w:val="18"/>
          <w:szCs w:val="18"/>
        </w:rPr>
      </w:pPr>
      <w:r w:rsidRPr="0058165F">
        <w:rPr>
          <w:rStyle w:val="FootnoteReference"/>
          <w:sz w:val="18"/>
          <w:szCs w:val="18"/>
        </w:rPr>
        <w:footnoteRef/>
      </w:r>
      <w:r w:rsidRPr="0058165F">
        <w:rPr>
          <w:sz w:val="18"/>
          <w:szCs w:val="18"/>
        </w:rPr>
        <w:t xml:space="preserve">   Le paquet de service essentiel est le fruit de consultations mondiales qui ont permis d’établir des normes et standards déclinées en 5 modules qui se recoupent (Vue d’ensemble et introduction ; modules  sur les services essentiels liés : à la  santé ; à la justice et à la police ; aux services sociaux ; et à la  coordination et la gouvernance).</w:t>
      </w:r>
    </w:p>
    <w:p w:rsidR="00CC09D1" w:rsidRPr="0058165F" w:rsidRDefault="00CC09D1" w:rsidP="0058165F">
      <w:pPr>
        <w:pStyle w:val="FootnoteText"/>
        <w:rPr>
          <w:sz w:val="18"/>
          <w:szCs w:val="18"/>
        </w:rPr>
      </w:pPr>
      <w:r w:rsidRPr="0058165F">
        <w:rPr>
          <w:sz w:val="18"/>
          <w:szCs w:val="18"/>
        </w:rPr>
        <w:t>Le paquet de services essentiels pour les femmes et les filles victimes de violence peut être téléchargé en arabe, en anglais, en espagnol et en français à l’adresse suivante : http://www.unwomen.org/fr/digital-library/publications/2015/12/essential-services-package-for-women-and-girls-subject-to-violence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39" w:rsidRDefault="003F4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39" w:rsidRDefault="003F4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39" w:rsidRDefault="003F4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7C9"/>
    <w:multiLevelType w:val="hybridMultilevel"/>
    <w:tmpl w:val="06E01FBA"/>
    <w:lvl w:ilvl="0" w:tplc="10A03B1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EF58CC"/>
    <w:multiLevelType w:val="hybridMultilevel"/>
    <w:tmpl w:val="B1C684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9616311"/>
    <w:multiLevelType w:val="hybridMultilevel"/>
    <w:tmpl w:val="797A9A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9A02D0"/>
    <w:multiLevelType w:val="hybridMultilevel"/>
    <w:tmpl w:val="04F68D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EF3C97"/>
    <w:multiLevelType w:val="hybridMultilevel"/>
    <w:tmpl w:val="3730A79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F007245"/>
    <w:multiLevelType w:val="hybridMultilevel"/>
    <w:tmpl w:val="439ADE58"/>
    <w:lvl w:ilvl="0" w:tplc="10A03B1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F75182"/>
    <w:multiLevelType w:val="hybridMultilevel"/>
    <w:tmpl w:val="64E65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C53308"/>
    <w:multiLevelType w:val="hybridMultilevel"/>
    <w:tmpl w:val="05AAA6BE"/>
    <w:lvl w:ilvl="0" w:tplc="10A03B1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D780FFC"/>
    <w:multiLevelType w:val="hybridMultilevel"/>
    <w:tmpl w:val="B3927F76"/>
    <w:lvl w:ilvl="0" w:tplc="10A03B1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15B373F"/>
    <w:multiLevelType w:val="hybridMultilevel"/>
    <w:tmpl w:val="3CAE3116"/>
    <w:lvl w:ilvl="0" w:tplc="10A03B1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25E6BAF"/>
    <w:multiLevelType w:val="hybridMultilevel"/>
    <w:tmpl w:val="80E2C468"/>
    <w:lvl w:ilvl="0" w:tplc="14EE55EA">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723AE8"/>
    <w:multiLevelType w:val="hybridMultilevel"/>
    <w:tmpl w:val="1624CC76"/>
    <w:lvl w:ilvl="0" w:tplc="040C000F">
      <w:start w:val="1"/>
      <w:numFmt w:val="decimal"/>
      <w:lvlText w:val="%1."/>
      <w:lvlJc w:val="left"/>
      <w:pPr>
        <w:ind w:left="360" w:hanging="360"/>
      </w:pPr>
    </w:lvl>
    <w:lvl w:ilvl="1" w:tplc="040C0019" w:tentative="1">
      <w:start w:val="1"/>
      <w:numFmt w:val="lowerLetter"/>
      <w:lvlText w:val="%2."/>
      <w:lvlJc w:val="left"/>
      <w:pPr>
        <w:ind w:left="512" w:hanging="360"/>
      </w:pPr>
    </w:lvl>
    <w:lvl w:ilvl="2" w:tplc="040C001B" w:tentative="1">
      <w:start w:val="1"/>
      <w:numFmt w:val="lowerRoman"/>
      <w:lvlText w:val="%3."/>
      <w:lvlJc w:val="right"/>
      <w:pPr>
        <w:ind w:left="1232" w:hanging="180"/>
      </w:pPr>
    </w:lvl>
    <w:lvl w:ilvl="3" w:tplc="040C000F" w:tentative="1">
      <w:start w:val="1"/>
      <w:numFmt w:val="decimal"/>
      <w:lvlText w:val="%4."/>
      <w:lvlJc w:val="left"/>
      <w:pPr>
        <w:ind w:left="1952" w:hanging="360"/>
      </w:pPr>
    </w:lvl>
    <w:lvl w:ilvl="4" w:tplc="040C0019" w:tentative="1">
      <w:start w:val="1"/>
      <w:numFmt w:val="lowerLetter"/>
      <w:lvlText w:val="%5."/>
      <w:lvlJc w:val="left"/>
      <w:pPr>
        <w:ind w:left="2672" w:hanging="360"/>
      </w:pPr>
    </w:lvl>
    <w:lvl w:ilvl="5" w:tplc="040C001B" w:tentative="1">
      <w:start w:val="1"/>
      <w:numFmt w:val="lowerRoman"/>
      <w:lvlText w:val="%6."/>
      <w:lvlJc w:val="right"/>
      <w:pPr>
        <w:ind w:left="3392" w:hanging="180"/>
      </w:pPr>
    </w:lvl>
    <w:lvl w:ilvl="6" w:tplc="040C000F" w:tentative="1">
      <w:start w:val="1"/>
      <w:numFmt w:val="decimal"/>
      <w:lvlText w:val="%7."/>
      <w:lvlJc w:val="left"/>
      <w:pPr>
        <w:ind w:left="4112" w:hanging="360"/>
      </w:pPr>
    </w:lvl>
    <w:lvl w:ilvl="7" w:tplc="040C0019" w:tentative="1">
      <w:start w:val="1"/>
      <w:numFmt w:val="lowerLetter"/>
      <w:lvlText w:val="%8."/>
      <w:lvlJc w:val="left"/>
      <w:pPr>
        <w:ind w:left="4832" w:hanging="360"/>
      </w:pPr>
    </w:lvl>
    <w:lvl w:ilvl="8" w:tplc="040C001B" w:tentative="1">
      <w:start w:val="1"/>
      <w:numFmt w:val="lowerRoman"/>
      <w:lvlText w:val="%9."/>
      <w:lvlJc w:val="right"/>
      <w:pPr>
        <w:ind w:left="5552" w:hanging="180"/>
      </w:pPr>
    </w:lvl>
  </w:abstractNum>
  <w:abstractNum w:abstractNumId="12" w15:restartNumberingAfterBreak="0">
    <w:nsid w:val="70FC3FE9"/>
    <w:multiLevelType w:val="hybridMultilevel"/>
    <w:tmpl w:val="22E659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7B34ED"/>
    <w:multiLevelType w:val="hybridMultilevel"/>
    <w:tmpl w:val="4C62DCB6"/>
    <w:lvl w:ilvl="0" w:tplc="14EE55EA">
      <w:start w:val="1"/>
      <w:numFmt w:val="bullet"/>
      <w:lvlText w:val="-"/>
      <w:lvlJc w:val="left"/>
      <w:pPr>
        <w:ind w:left="360" w:hanging="360"/>
      </w:pPr>
      <w:rPr>
        <w:rFonts w:ascii="Calibri" w:eastAsia="Calibr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75002AA"/>
    <w:multiLevelType w:val="hybridMultilevel"/>
    <w:tmpl w:val="D07CD24A"/>
    <w:lvl w:ilvl="0" w:tplc="10A03B1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901F6C"/>
    <w:multiLevelType w:val="hybridMultilevel"/>
    <w:tmpl w:val="6A4A122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15"/>
  </w:num>
  <w:num w:numId="4">
    <w:abstractNumId w:val="9"/>
  </w:num>
  <w:num w:numId="5">
    <w:abstractNumId w:val="0"/>
  </w:num>
  <w:num w:numId="6">
    <w:abstractNumId w:val="1"/>
  </w:num>
  <w:num w:numId="7">
    <w:abstractNumId w:val="8"/>
  </w:num>
  <w:num w:numId="8">
    <w:abstractNumId w:val="5"/>
  </w:num>
  <w:num w:numId="9">
    <w:abstractNumId w:val="2"/>
  </w:num>
  <w:num w:numId="10">
    <w:abstractNumId w:val="14"/>
  </w:num>
  <w:num w:numId="11">
    <w:abstractNumId w:val="3"/>
  </w:num>
  <w:num w:numId="12">
    <w:abstractNumId w:val="7"/>
  </w:num>
  <w:num w:numId="13">
    <w:abstractNumId w:val="12"/>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2E8D"/>
    <w:rsid w:val="0000555B"/>
    <w:rsid w:val="00031D9E"/>
    <w:rsid w:val="00100747"/>
    <w:rsid w:val="001737C8"/>
    <w:rsid w:val="001805EE"/>
    <w:rsid w:val="0020227E"/>
    <w:rsid w:val="0029649A"/>
    <w:rsid w:val="002D414D"/>
    <w:rsid w:val="002D7066"/>
    <w:rsid w:val="003C747A"/>
    <w:rsid w:val="003F4639"/>
    <w:rsid w:val="00473A46"/>
    <w:rsid w:val="004B39DE"/>
    <w:rsid w:val="004F72D0"/>
    <w:rsid w:val="00534A10"/>
    <w:rsid w:val="0058165F"/>
    <w:rsid w:val="00616417"/>
    <w:rsid w:val="0066223E"/>
    <w:rsid w:val="006745AF"/>
    <w:rsid w:val="006C46E4"/>
    <w:rsid w:val="00721FDF"/>
    <w:rsid w:val="007226BA"/>
    <w:rsid w:val="00745474"/>
    <w:rsid w:val="00750C52"/>
    <w:rsid w:val="00770EC8"/>
    <w:rsid w:val="007C4201"/>
    <w:rsid w:val="0087426D"/>
    <w:rsid w:val="0088416D"/>
    <w:rsid w:val="008C3E0E"/>
    <w:rsid w:val="009014F9"/>
    <w:rsid w:val="0090526B"/>
    <w:rsid w:val="009276F7"/>
    <w:rsid w:val="009C5EFB"/>
    <w:rsid w:val="009D0D14"/>
    <w:rsid w:val="009D7F0A"/>
    <w:rsid w:val="009E266C"/>
    <w:rsid w:val="00A45AFA"/>
    <w:rsid w:val="00A462A9"/>
    <w:rsid w:val="00A7573C"/>
    <w:rsid w:val="00A93C8D"/>
    <w:rsid w:val="00AB39E2"/>
    <w:rsid w:val="00AC38B4"/>
    <w:rsid w:val="00B63173"/>
    <w:rsid w:val="00B92D50"/>
    <w:rsid w:val="00BA2A35"/>
    <w:rsid w:val="00BD4294"/>
    <w:rsid w:val="00C45D8C"/>
    <w:rsid w:val="00CC09D1"/>
    <w:rsid w:val="00CD50E7"/>
    <w:rsid w:val="00D210A6"/>
    <w:rsid w:val="00D23EBC"/>
    <w:rsid w:val="00D50FBC"/>
    <w:rsid w:val="00D84E99"/>
    <w:rsid w:val="00E715B2"/>
    <w:rsid w:val="00E82E8D"/>
    <w:rsid w:val="00E9710B"/>
    <w:rsid w:val="00ED5139"/>
    <w:rsid w:val="00F30BFA"/>
    <w:rsid w:val="00FA1DBB"/>
    <w:rsid w:val="00FB2D73"/>
    <w:rsid w:val="00FB2E77"/>
    <w:rsid w:val="00FB310D"/>
    <w:rsid w:val="00FE7FE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CAD8D9-8CD0-47F0-9D3E-F745BDFC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9D1"/>
  </w:style>
  <w:style w:type="paragraph" w:styleId="Footer">
    <w:name w:val="footer"/>
    <w:basedOn w:val="Normal"/>
    <w:link w:val="FooterChar"/>
    <w:uiPriority w:val="99"/>
    <w:unhideWhenUsed/>
    <w:rsid w:val="00CC0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9D1"/>
  </w:style>
  <w:style w:type="paragraph" w:styleId="FootnoteText">
    <w:name w:val="footnote text"/>
    <w:basedOn w:val="Normal"/>
    <w:link w:val="FootnoteTextChar"/>
    <w:uiPriority w:val="99"/>
    <w:semiHidden/>
    <w:unhideWhenUsed/>
    <w:rsid w:val="00CC0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9D1"/>
    <w:rPr>
      <w:sz w:val="20"/>
      <w:szCs w:val="20"/>
    </w:rPr>
  </w:style>
  <w:style w:type="character" w:styleId="FootnoteReference">
    <w:name w:val="footnote reference"/>
    <w:basedOn w:val="DefaultParagraphFont"/>
    <w:uiPriority w:val="99"/>
    <w:semiHidden/>
    <w:unhideWhenUsed/>
    <w:rsid w:val="00CC09D1"/>
    <w:rPr>
      <w:vertAlign w:val="superscript"/>
    </w:rPr>
  </w:style>
  <w:style w:type="paragraph" w:styleId="ListParagraph">
    <w:name w:val="List Paragraph"/>
    <w:basedOn w:val="Normal"/>
    <w:link w:val="ListParagraphChar"/>
    <w:uiPriority w:val="34"/>
    <w:qFormat/>
    <w:rsid w:val="00CC09D1"/>
    <w:pPr>
      <w:ind w:left="720"/>
      <w:contextualSpacing/>
    </w:pPr>
  </w:style>
  <w:style w:type="paragraph" w:styleId="BalloonText">
    <w:name w:val="Balloon Text"/>
    <w:basedOn w:val="Normal"/>
    <w:link w:val="BalloonTextChar"/>
    <w:uiPriority w:val="99"/>
    <w:semiHidden/>
    <w:unhideWhenUsed/>
    <w:rsid w:val="0075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52"/>
    <w:rPr>
      <w:rFonts w:ascii="Tahoma" w:hAnsi="Tahoma" w:cs="Tahoma"/>
      <w:sz w:val="16"/>
      <w:szCs w:val="16"/>
    </w:rPr>
  </w:style>
  <w:style w:type="character" w:customStyle="1" w:styleId="ListParagraphChar">
    <w:name w:val="List Paragraph Char"/>
    <w:basedOn w:val="DefaultParagraphFont"/>
    <w:link w:val="ListParagraph"/>
    <w:uiPriority w:val="34"/>
    <w:locked/>
    <w:rsid w:val="0066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2617-03B4-4F84-A46F-5A0F1B2F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2016</Words>
  <Characters>11493</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UNFPA-Morocco</dc:creator>
  <cp:lastModifiedBy>Laila Acharai</cp:lastModifiedBy>
  <cp:revision>6</cp:revision>
  <dcterms:created xsi:type="dcterms:W3CDTF">2019-08-07T14:47:00Z</dcterms:created>
  <dcterms:modified xsi:type="dcterms:W3CDTF">2019-08-08T11:21:00Z</dcterms:modified>
</cp:coreProperties>
</file>