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6B10E" w14:textId="77777777" w:rsidR="00CE4F3B" w:rsidRPr="004B76F8" w:rsidRDefault="00CE4F3B" w:rsidP="00CE4F3B">
      <w:pPr>
        <w:spacing w:after="120" w:line="240" w:lineRule="auto"/>
        <w:ind w:left="1843" w:right="1848"/>
        <w:jc w:val="center"/>
        <w:rPr>
          <w:rFonts w:asciiTheme="minorBidi" w:hAnsiTheme="minorBidi"/>
          <w:b/>
          <w:color w:val="0000FF"/>
          <w:sz w:val="28"/>
          <w:szCs w:val="20"/>
        </w:rPr>
      </w:pPr>
      <w:r w:rsidRPr="004B76F8">
        <w:rPr>
          <w:rFonts w:asciiTheme="minorBidi" w:hAnsiTheme="minorBidi"/>
          <w:b/>
          <w:color w:val="0000FF"/>
          <w:sz w:val="28"/>
          <w:szCs w:val="20"/>
        </w:rPr>
        <w:t>Termes de référence pour la</w:t>
      </w:r>
      <w:r>
        <w:rPr>
          <w:rFonts w:asciiTheme="minorBidi" w:hAnsiTheme="minorBidi"/>
          <w:b/>
          <w:color w:val="0000FF"/>
          <w:sz w:val="28"/>
          <w:szCs w:val="20"/>
        </w:rPr>
        <w:t xml:space="preserve"> </w:t>
      </w:r>
      <w:r w:rsidRPr="004B76F8">
        <w:rPr>
          <w:rFonts w:asciiTheme="minorBidi" w:hAnsiTheme="minorBidi"/>
          <w:b/>
          <w:color w:val="0000FF"/>
          <w:sz w:val="28"/>
          <w:szCs w:val="20"/>
        </w:rPr>
        <w:t>consultation relative au s</w:t>
      </w:r>
      <w:r w:rsidRPr="004B76F8">
        <w:rPr>
          <w:rFonts w:ascii="Arial" w:eastAsia="Times New Roman" w:hAnsi="Arial" w:cs="Arial"/>
          <w:b/>
          <w:color w:val="0000FF"/>
          <w:sz w:val="28"/>
          <w:szCs w:val="20"/>
        </w:rPr>
        <w:t>ous enregistrement des décès dans les régions rurales du Maroc</w:t>
      </w:r>
    </w:p>
    <w:p w14:paraId="00132E19" w14:textId="77777777" w:rsidR="00CE4F3B" w:rsidRPr="00AC6188" w:rsidRDefault="00CE4F3B" w:rsidP="00CE4F3B">
      <w:pPr>
        <w:pStyle w:val="Heading11"/>
        <w:tabs>
          <w:tab w:val="left" w:pos="1195"/>
          <w:tab w:val="left" w:pos="1197"/>
        </w:tabs>
        <w:rPr>
          <w:rFonts w:asciiTheme="minorBidi" w:hAnsiTheme="minorBidi" w:cstheme="minorBidi"/>
          <w:u w:val="none"/>
        </w:rPr>
      </w:pPr>
    </w:p>
    <w:p w14:paraId="7ADC178C" w14:textId="77777777" w:rsidR="00CE4F3B" w:rsidRPr="00AC6188" w:rsidRDefault="00CE4F3B" w:rsidP="00CE4F3B">
      <w:pPr>
        <w:pStyle w:val="Heading11"/>
        <w:tabs>
          <w:tab w:val="left" w:pos="1195"/>
          <w:tab w:val="left" w:pos="1197"/>
        </w:tabs>
        <w:rPr>
          <w:rFonts w:asciiTheme="minorBidi" w:hAnsiTheme="minorBidi" w:cstheme="minorBidi"/>
          <w:u w:val="none"/>
        </w:rPr>
      </w:pPr>
    </w:p>
    <w:p w14:paraId="688044FA" w14:textId="77777777" w:rsidR="00CE4F3B" w:rsidRDefault="00CE4F3B" w:rsidP="00CE4F3B">
      <w:pPr>
        <w:pStyle w:val="Heading11"/>
        <w:numPr>
          <w:ilvl w:val="0"/>
          <w:numId w:val="4"/>
        </w:numPr>
        <w:tabs>
          <w:tab w:val="left" w:pos="1195"/>
          <w:tab w:val="left" w:pos="1197"/>
        </w:tabs>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Contexte de la consultation</w:t>
      </w:r>
    </w:p>
    <w:p w14:paraId="1BE320AF" w14:textId="77777777" w:rsidR="00CE4F3B" w:rsidRPr="00AC6188" w:rsidRDefault="00CE4F3B" w:rsidP="00CE4F3B">
      <w:pPr>
        <w:pStyle w:val="BodyText"/>
        <w:rPr>
          <w:rFonts w:asciiTheme="minorBidi" w:hAnsiTheme="minorBidi" w:cstheme="minorBidi"/>
          <w:b/>
          <w:sz w:val="24"/>
        </w:rPr>
      </w:pPr>
    </w:p>
    <w:p w14:paraId="7369A8B2" w14:textId="77777777" w:rsidR="00CE4F3B" w:rsidRPr="0000489E" w:rsidRDefault="00CE4F3B" w:rsidP="00CE4F3B">
      <w:pPr>
        <w:pStyle w:val="BodyText"/>
        <w:spacing w:after="120"/>
        <w:jc w:val="both"/>
        <w:rPr>
          <w:sz w:val="24"/>
          <w:szCs w:val="24"/>
        </w:rPr>
      </w:pPr>
      <w:r w:rsidRPr="0000489E">
        <w:rPr>
          <w:sz w:val="24"/>
          <w:szCs w:val="24"/>
        </w:rPr>
        <w:t>Le système de l'état civil revêt une importance particulière pour le système statistique national</w:t>
      </w:r>
      <w:r>
        <w:rPr>
          <w:sz w:val="24"/>
          <w:szCs w:val="24"/>
        </w:rPr>
        <w:t xml:space="preserve">. Il </w:t>
      </w:r>
      <w:r w:rsidRPr="0000489E">
        <w:rPr>
          <w:sz w:val="24"/>
          <w:szCs w:val="24"/>
        </w:rPr>
        <w:t xml:space="preserve">permet de fournir des données statistiques actualisées </w:t>
      </w:r>
      <w:r>
        <w:rPr>
          <w:sz w:val="24"/>
          <w:szCs w:val="24"/>
        </w:rPr>
        <w:t>sur la dynamique de la croissance démographique</w:t>
      </w:r>
      <w:r w:rsidRPr="0000489E">
        <w:rPr>
          <w:sz w:val="24"/>
          <w:szCs w:val="24"/>
        </w:rPr>
        <w:t xml:space="preserve"> par région</w:t>
      </w:r>
      <w:r>
        <w:rPr>
          <w:sz w:val="24"/>
          <w:szCs w:val="24"/>
        </w:rPr>
        <w:t xml:space="preserve">, province et commune, ainsi que les </w:t>
      </w:r>
      <w:r w:rsidRPr="0000489E">
        <w:rPr>
          <w:sz w:val="24"/>
          <w:szCs w:val="24"/>
        </w:rPr>
        <w:t>mouvements spatia</w:t>
      </w:r>
      <w:r>
        <w:rPr>
          <w:sz w:val="24"/>
          <w:szCs w:val="24"/>
        </w:rPr>
        <w:t>ux</w:t>
      </w:r>
      <w:r w:rsidRPr="0000489E">
        <w:rPr>
          <w:sz w:val="24"/>
          <w:szCs w:val="24"/>
        </w:rPr>
        <w:t xml:space="preserve"> de</w:t>
      </w:r>
      <w:r>
        <w:rPr>
          <w:sz w:val="24"/>
          <w:szCs w:val="24"/>
        </w:rPr>
        <w:t>s</w:t>
      </w:r>
      <w:r w:rsidRPr="0000489E">
        <w:rPr>
          <w:sz w:val="24"/>
          <w:szCs w:val="24"/>
        </w:rPr>
        <w:t xml:space="preserve"> populations.</w:t>
      </w:r>
    </w:p>
    <w:p w14:paraId="3779ADAD" w14:textId="77777777" w:rsidR="00CE4F3B" w:rsidRPr="0000489E" w:rsidRDefault="00CE4F3B" w:rsidP="00CE4F3B">
      <w:pPr>
        <w:pStyle w:val="BodyText"/>
        <w:spacing w:after="120"/>
        <w:jc w:val="both"/>
        <w:rPr>
          <w:sz w:val="24"/>
          <w:szCs w:val="24"/>
        </w:rPr>
      </w:pPr>
      <w:r>
        <w:rPr>
          <w:sz w:val="24"/>
          <w:szCs w:val="24"/>
        </w:rPr>
        <w:t>L'amélioration du</w:t>
      </w:r>
      <w:r w:rsidRPr="0000489E">
        <w:rPr>
          <w:sz w:val="24"/>
          <w:szCs w:val="24"/>
        </w:rPr>
        <w:t xml:space="preserve"> système d'état civil a aidé de nombreux pays </w:t>
      </w:r>
      <w:r>
        <w:rPr>
          <w:sz w:val="24"/>
          <w:szCs w:val="24"/>
        </w:rPr>
        <w:t xml:space="preserve">à alléger des </w:t>
      </w:r>
      <w:r w:rsidRPr="0000489E">
        <w:rPr>
          <w:sz w:val="24"/>
          <w:szCs w:val="24"/>
        </w:rPr>
        <w:t xml:space="preserve">grandes opérations statistiques, </w:t>
      </w:r>
      <w:r>
        <w:rPr>
          <w:sz w:val="24"/>
          <w:szCs w:val="24"/>
        </w:rPr>
        <w:t xml:space="preserve">notamment les </w:t>
      </w:r>
      <w:r w:rsidRPr="0000489E">
        <w:rPr>
          <w:sz w:val="24"/>
          <w:szCs w:val="24"/>
        </w:rPr>
        <w:t xml:space="preserve">recensements </w:t>
      </w:r>
      <w:r>
        <w:rPr>
          <w:sz w:val="24"/>
          <w:szCs w:val="24"/>
        </w:rPr>
        <w:t xml:space="preserve">de la population qui nécessitent un </w:t>
      </w:r>
      <w:r w:rsidRPr="0000489E">
        <w:rPr>
          <w:sz w:val="24"/>
          <w:szCs w:val="24"/>
        </w:rPr>
        <w:t xml:space="preserve">potentiel logistique, technique, matériel et humain </w:t>
      </w:r>
      <w:r>
        <w:rPr>
          <w:sz w:val="24"/>
          <w:szCs w:val="24"/>
        </w:rPr>
        <w:t>conséquent</w:t>
      </w:r>
      <w:r w:rsidRPr="0000489E">
        <w:rPr>
          <w:sz w:val="24"/>
          <w:szCs w:val="24"/>
        </w:rPr>
        <w:t>.</w:t>
      </w:r>
    </w:p>
    <w:p w14:paraId="520886CF" w14:textId="77777777" w:rsidR="00CE4F3B" w:rsidRPr="0000489E" w:rsidRDefault="00CE4F3B" w:rsidP="00CE4F3B">
      <w:pPr>
        <w:pStyle w:val="BodyText"/>
        <w:spacing w:after="120"/>
        <w:jc w:val="both"/>
        <w:rPr>
          <w:sz w:val="24"/>
          <w:szCs w:val="24"/>
        </w:rPr>
      </w:pPr>
      <w:r w:rsidRPr="0000489E">
        <w:rPr>
          <w:sz w:val="24"/>
          <w:szCs w:val="24"/>
        </w:rPr>
        <w:t>Au Maroc, la loi sur l’état civil stipule clairement que l’en</w:t>
      </w:r>
      <w:r>
        <w:rPr>
          <w:sz w:val="24"/>
          <w:szCs w:val="24"/>
        </w:rPr>
        <w:t xml:space="preserve">registrement des naissances et des décès </w:t>
      </w:r>
      <w:r w:rsidRPr="0000489E">
        <w:rPr>
          <w:sz w:val="24"/>
          <w:szCs w:val="24"/>
        </w:rPr>
        <w:t>est obligatoire pour tous les citoyens (loi 37.99 de l'état civil 2002). Cette loi est une réaffirmation d'une pratique qui devrait être pleinement appliquée de nos jours, depuis que l'état civil a été introduit pour la première fois par l'occupation française (Dahir 4 septembre191</w:t>
      </w:r>
      <w:r>
        <w:rPr>
          <w:sz w:val="24"/>
          <w:szCs w:val="24"/>
        </w:rPr>
        <w:t>5), impliquant uniquement des fr</w:t>
      </w:r>
      <w:r w:rsidRPr="0000489E">
        <w:rPr>
          <w:sz w:val="24"/>
          <w:szCs w:val="24"/>
        </w:rPr>
        <w:t xml:space="preserve">ançais ou des étrangers vivant au Maroc. Depuis 1950, il a été amplifié comme facultative et obligatoire pour les bénéficiaires d'aides d'État. Après l'indépendance, un décret a </w:t>
      </w:r>
      <w:r>
        <w:rPr>
          <w:sz w:val="24"/>
          <w:szCs w:val="24"/>
        </w:rPr>
        <w:t xml:space="preserve">porté sur la </w:t>
      </w:r>
      <w:r w:rsidRPr="0000489E">
        <w:rPr>
          <w:sz w:val="24"/>
          <w:szCs w:val="24"/>
        </w:rPr>
        <w:t>cré</w:t>
      </w:r>
      <w:r>
        <w:rPr>
          <w:sz w:val="24"/>
          <w:szCs w:val="24"/>
        </w:rPr>
        <w:t>ation d'</w:t>
      </w:r>
      <w:r w:rsidRPr="0000489E">
        <w:rPr>
          <w:sz w:val="24"/>
          <w:szCs w:val="24"/>
        </w:rPr>
        <w:t xml:space="preserve">une nouvelle division </w:t>
      </w:r>
      <w:r>
        <w:rPr>
          <w:sz w:val="24"/>
          <w:szCs w:val="24"/>
        </w:rPr>
        <w:t>au sein du m</w:t>
      </w:r>
      <w:r w:rsidRPr="0000489E">
        <w:rPr>
          <w:sz w:val="24"/>
          <w:szCs w:val="24"/>
        </w:rPr>
        <w:t>inistère de l’intérieur, pour superviser le bon fonctionnement de l’état civil.</w:t>
      </w:r>
    </w:p>
    <w:p w14:paraId="2C289F8C" w14:textId="77777777" w:rsidR="00CE4F3B" w:rsidRDefault="00CE4F3B" w:rsidP="00CE4F3B">
      <w:pPr>
        <w:pStyle w:val="BodyText"/>
        <w:spacing w:after="120"/>
        <w:jc w:val="both"/>
        <w:rPr>
          <w:sz w:val="24"/>
          <w:szCs w:val="24"/>
        </w:rPr>
      </w:pPr>
      <w:r>
        <w:rPr>
          <w:sz w:val="24"/>
          <w:szCs w:val="24"/>
        </w:rPr>
        <w:t>Le système actuel d'état civil souffre de certaines lacunes et sa modernisation s'avère nécessaire. Une telle modernisation du</w:t>
      </w:r>
      <w:r w:rsidRPr="0000489E">
        <w:rPr>
          <w:sz w:val="24"/>
          <w:szCs w:val="24"/>
        </w:rPr>
        <w:t xml:space="preserve"> système d’état civil nécessite des interventions sur plusieurs niveau</w:t>
      </w:r>
      <w:r>
        <w:rPr>
          <w:sz w:val="24"/>
          <w:szCs w:val="24"/>
        </w:rPr>
        <w:t xml:space="preserve">x : </w:t>
      </w:r>
      <w:r w:rsidRPr="0000489E">
        <w:rPr>
          <w:sz w:val="24"/>
          <w:szCs w:val="24"/>
        </w:rPr>
        <w:t>juridique, organisationnel, administrat</w:t>
      </w:r>
      <w:r>
        <w:rPr>
          <w:sz w:val="24"/>
          <w:szCs w:val="24"/>
        </w:rPr>
        <w:t>if, culturel et statistique. C</w:t>
      </w:r>
      <w:r w:rsidRPr="0000489E">
        <w:rPr>
          <w:sz w:val="24"/>
          <w:szCs w:val="24"/>
        </w:rPr>
        <w:t xml:space="preserve">e processus de modernisation de l’état civil </w:t>
      </w:r>
      <w:r>
        <w:rPr>
          <w:sz w:val="24"/>
          <w:szCs w:val="24"/>
        </w:rPr>
        <w:t xml:space="preserve">permettrait d'avoir </w:t>
      </w:r>
      <w:r w:rsidRPr="0000489E">
        <w:rPr>
          <w:sz w:val="24"/>
          <w:szCs w:val="24"/>
        </w:rPr>
        <w:t>l'exhaustivité</w:t>
      </w:r>
      <w:r>
        <w:rPr>
          <w:sz w:val="24"/>
          <w:szCs w:val="24"/>
        </w:rPr>
        <w:t xml:space="preserve"> et </w:t>
      </w:r>
      <w:r w:rsidRPr="0000489E">
        <w:rPr>
          <w:sz w:val="24"/>
          <w:szCs w:val="24"/>
        </w:rPr>
        <w:t>donne</w:t>
      </w:r>
      <w:r>
        <w:rPr>
          <w:sz w:val="24"/>
          <w:szCs w:val="24"/>
        </w:rPr>
        <w:t xml:space="preserve">rait la </w:t>
      </w:r>
      <w:r w:rsidRPr="0000489E">
        <w:rPr>
          <w:sz w:val="24"/>
          <w:szCs w:val="24"/>
        </w:rPr>
        <w:t>possibilité</w:t>
      </w:r>
      <w:r>
        <w:rPr>
          <w:sz w:val="24"/>
          <w:szCs w:val="24"/>
        </w:rPr>
        <w:t xml:space="preserve"> </w:t>
      </w:r>
      <w:r w:rsidRPr="0000489E">
        <w:rPr>
          <w:sz w:val="24"/>
          <w:szCs w:val="24"/>
        </w:rPr>
        <w:t xml:space="preserve">d'élargir la </w:t>
      </w:r>
      <w:r>
        <w:rPr>
          <w:sz w:val="24"/>
          <w:szCs w:val="24"/>
        </w:rPr>
        <w:t xml:space="preserve">collecte des </w:t>
      </w:r>
      <w:r w:rsidRPr="0000489E">
        <w:rPr>
          <w:sz w:val="24"/>
          <w:szCs w:val="24"/>
        </w:rPr>
        <w:t xml:space="preserve">données </w:t>
      </w:r>
      <w:r>
        <w:rPr>
          <w:sz w:val="24"/>
          <w:szCs w:val="24"/>
        </w:rPr>
        <w:t xml:space="preserve">pour toucher d'autres aspects tels que les statistiques </w:t>
      </w:r>
      <w:r w:rsidRPr="0000489E">
        <w:rPr>
          <w:sz w:val="24"/>
          <w:szCs w:val="24"/>
        </w:rPr>
        <w:t>sur le</w:t>
      </w:r>
      <w:r>
        <w:rPr>
          <w:sz w:val="24"/>
          <w:szCs w:val="24"/>
        </w:rPr>
        <w:t>s</w:t>
      </w:r>
      <w:r w:rsidRPr="0000489E">
        <w:rPr>
          <w:sz w:val="24"/>
          <w:szCs w:val="24"/>
        </w:rPr>
        <w:t xml:space="preserve"> mariage</w:t>
      </w:r>
      <w:r>
        <w:rPr>
          <w:sz w:val="24"/>
          <w:szCs w:val="24"/>
        </w:rPr>
        <w:t>s</w:t>
      </w:r>
      <w:r w:rsidRPr="0000489E">
        <w:rPr>
          <w:sz w:val="24"/>
          <w:szCs w:val="24"/>
        </w:rPr>
        <w:t xml:space="preserve"> et le</w:t>
      </w:r>
      <w:r>
        <w:rPr>
          <w:sz w:val="24"/>
          <w:szCs w:val="24"/>
        </w:rPr>
        <w:t>s</w:t>
      </w:r>
      <w:r w:rsidRPr="0000489E">
        <w:rPr>
          <w:sz w:val="24"/>
          <w:szCs w:val="24"/>
        </w:rPr>
        <w:t xml:space="preserve"> divorce</w:t>
      </w:r>
      <w:r>
        <w:rPr>
          <w:sz w:val="24"/>
          <w:szCs w:val="24"/>
        </w:rPr>
        <w:t>s en plus de ceux</w:t>
      </w:r>
      <w:r w:rsidRPr="0000489E">
        <w:rPr>
          <w:sz w:val="24"/>
          <w:szCs w:val="24"/>
        </w:rPr>
        <w:t xml:space="preserve"> sur la mobilité spatiale de la population et l</w:t>
      </w:r>
      <w:r>
        <w:rPr>
          <w:sz w:val="24"/>
          <w:szCs w:val="24"/>
        </w:rPr>
        <w:t xml:space="preserve">es </w:t>
      </w:r>
      <w:r w:rsidRPr="0000489E">
        <w:rPr>
          <w:sz w:val="24"/>
          <w:szCs w:val="24"/>
        </w:rPr>
        <w:t>migration</w:t>
      </w:r>
      <w:r>
        <w:rPr>
          <w:sz w:val="24"/>
          <w:szCs w:val="24"/>
        </w:rPr>
        <w:t>s</w:t>
      </w:r>
      <w:r w:rsidRPr="0000489E">
        <w:rPr>
          <w:sz w:val="24"/>
          <w:szCs w:val="24"/>
        </w:rPr>
        <w:t>.</w:t>
      </w:r>
    </w:p>
    <w:p w14:paraId="2D7D8A5D" w14:textId="77777777" w:rsidR="00CE4F3B" w:rsidRDefault="00CE4F3B" w:rsidP="00CE4F3B">
      <w:pPr>
        <w:pStyle w:val="BodyText"/>
        <w:spacing w:after="120"/>
        <w:jc w:val="both"/>
        <w:rPr>
          <w:sz w:val="24"/>
          <w:szCs w:val="24"/>
        </w:rPr>
      </w:pPr>
      <w:r>
        <w:rPr>
          <w:sz w:val="24"/>
          <w:szCs w:val="24"/>
        </w:rPr>
        <w:t xml:space="preserve">Si les enregistrements des naissances se sont considérablement améliorés, ceux des décès souffrent toujours de sous-enregistrement, particulièrement dans le milieu rural et plus fréquemment pour les populations féminines. </w:t>
      </w:r>
    </w:p>
    <w:p w14:paraId="4431D6B8" w14:textId="77777777" w:rsidR="00CE4F3B" w:rsidRDefault="00CE4F3B" w:rsidP="00CE4F3B">
      <w:pPr>
        <w:pStyle w:val="BodyText"/>
        <w:spacing w:after="120"/>
        <w:jc w:val="both"/>
        <w:rPr>
          <w:sz w:val="24"/>
          <w:szCs w:val="24"/>
        </w:rPr>
      </w:pPr>
    </w:p>
    <w:p w14:paraId="47072EE1" w14:textId="77777777" w:rsidR="00CE4F3B" w:rsidRPr="00AC6188" w:rsidRDefault="00CE4F3B" w:rsidP="00CE4F3B">
      <w:pPr>
        <w:pStyle w:val="Heading11"/>
        <w:numPr>
          <w:ilvl w:val="0"/>
          <w:numId w:val="4"/>
        </w:numPr>
        <w:tabs>
          <w:tab w:val="left" w:pos="1195"/>
          <w:tab w:val="left" w:pos="1197"/>
        </w:tabs>
        <w:rPr>
          <w:rFonts w:asciiTheme="minorBidi" w:hAnsiTheme="minorBidi" w:cstheme="minorBidi"/>
          <w:color w:val="0000FF"/>
          <w:sz w:val="28"/>
          <w:szCs w:val="28"/>
          <w:u w:val="none"/>
        </w:rPr>
      </w:pPr>
      <w:r>
        <w:rPr>
          <w:rFonts w:asciiTheme="minorBidi" w:hAnsiTheme="minorBidi" w:cstheme="minorBidi"/>
          <w:color w:val="0000FF"/>
          <w:sz w:val="28"/>
          <w:szCs w:val="28"/>
          <w:u w:val="none"/>
        </w:rPr>
        <w:t>Objectif de l'étude</w:t>
      </w:r>
    </w:p>
    <w:p w14:paraId="799E4600" w14:textId="77777777" w:rsidR="00CE4F3B" w:rsidRDefault="00CE4F3B" w:rsidP="00CE4F3B">
      <w:pPr>
        <w:pStyle w:val="BodyText"/>
        <w:spacing w:after="120"/>
        <w:jc w:val="both"/>
        <w:rPr>
          <w:sz w:val="24"/>
          <w:szCs w:val="24"/>
        </w:rPr>
      </w:pPr>
    </w:p>
    <w:p w14:paraId="47F06D27" w14:textId="77777777" w:rsidR="00CE4F3B" w:rsidRDefault="00CE4F3B" w:rsidP="00CE4F3B">
      <w:pPr>
        <w:pStyle w:val="BodyText"/>
        <w:spacing w:after="120"/>
        <w:jc w:val="both"/>
        <w:rPr>
          <w:sz w:val="24"/>
          <w:szCs w:val="24"/>
        </w:rPr>
      </w:pPr>
      <w:r>
        <w:rPr>
          <w:sz w:val="24"/>
          <w:szCs w:val="24"/>
        </w:rPr>
        <w:t xml:space="preserve">Pour essayer de comprendre ce phénomène de sous enregistrement </w:t>
      </w:r>
      <w:r w:rsidRPr="0045534F">
        <w:rPr>
          <w:sz w:val="24"/>
          <w:szCs w:val="24"/>
        </w:rPr>
        <w:t>des décès dans les régions rurales du Maroc</w:t>
      </w:r>
      <w:r>
        <w:rPr>
          <w:sz w:val="24"/>
          <w:szCs w:val="24"/>
        </w:rPr>
        <w:t xml:space="preserve"> une étude qualitative est nécessaire. Le choix d'une telle m</w:t>
      </w:r>
      <w:r w:rsidRPr="00EA5617">
        <w:rPr>
          <w:sz w:val="24"/>
          <w:szCs w:val="24"/>
        </w:rPr>
        <w:t xml:space="preserve">éthode pour cette étude </w:t>
      </w:r>
      <w:r>
        <w:rPr>
          <w:sz w:val="24"/>
          <w:szCs w:val="24"/>
        </w:rPr>
        <w:t xml:space="preserve">se justifie par le fait qu'une telle enquête </w:t>
      </w:r>
      <w:r w:rsidRPr="00EA5617">
        <w:rPr>
          <w:sz w:val="24"/>
          <w:szCs w:val="24"/>
        </w:rPr>
        <w:t xml:space="preserve">offre la possibilité de comprendre les mécanismes </w:t>
      </w:r>
      <w:r>
        <w:rPr>
          <w:sz w:val="24"/>
          <w:szCs w:val="24"/>
        </w:rPr>
        <w:t xml:space="preserve">socioculturels visibles et invisibles qui </w:t>
      </w:r>
      <w:r w:rsidRPr="00DC6450">
        <w:rPr>
          <w:sz w:val="24"/>
          <w:szCs w:val="24"/>
        </w:rPr>
        <w:t xml:space="preserve">empêchent l’enregistrement des décès dans les actes de l’état civil </w:t>
      </w:r>
      <w:r w:rsidRPr="0034320C">
        <w:rPr>
          <w:sz w:val="24"/>
          <w:szCs w:val="24"/>
        </w:rPr>
        <w:t>da</w:t>
      </w:r>
      <w:r>
        <w:rPr>
          <w:sz w:val="24"/>
          <w:szCs w:val="24"/>
        </w:rPr>
        <w:t>ns le milieu rural au Maroc.</w:t>
      </w:r>
    </w:p>
    <w:p w14:paraId="6D985472" w14:textId="77777777" w:rsidR="00CE4F3B" w:rsidRPr="0045534F" w:rsidRDefault="00CE4F3B" w:rsidP="00CE4F3B">
      <w:pPr>
        <w:pStyle w:val="BodyText"/>
        <w:spacing w:after="120"/>
        <w:jc w:val="both"/>
        <w:rPr>
          <w:sz w:val="24"/>
          <w:szCs w:val="24"/>
        </w:rPr>
      </w:pPr>
      <w:r w:rsidRPr="0045534F">
        <w:rPr>
          <w:sz w:val="24"/>
          <w:szCs w:val="24"/>
        </w:rPr>
        <w:t xml:space="preserve">Les objectifs spécifiques de l’étude peuvent être </w:t>
      </w:r>
      <w:r>
        <w:rPr>
          <w:sz w:val="24"/>
          <w:szCs w:val="24"/>
        </w:rPr>
        <w:t>formulés</w:t>
      </w:r>
      <w:r w:rsidRPr="0045534F">
        <w:rPr>
          <w:sz w:val="24"/>
          <w:szCs w:val="24"/>
        </w:rPr>
        <w:t xml:space="preserve"> à travers un certain nombre de questions, dont :</w:t>
      </w:r>
    </w:p>
    <w:p w14:paraId="07EC8D1B" w14:textId="77777777" w:rsidR="00CE4F3B" w:rsidRPr="0045534F" w:rsidRDefault="00CE4F3B" w:rsidP="00CE4F3B">
      <w:pPr>
        <w:pStyle w:val="BodyText"/>
        <w:numPr>
          <w:ilvl w:val="0"/>
          <w:numId w:val="3"/>
        </w:numPr>
        <w:spacing w:after="120"/>
        <w:jc w:val="both"/>
        <w:rPr>
          <w:sz w:val="24"/>
          <w:szCs w:val="24"/>
        </w:rPr>
      </w:pPr>
      <w:r w:rsidRPr="0045534F">
        <w:rPr>
          <w:sz w:val="24"/>
          <w:szCs w:val="24"/>
        </w:rPr>
        <w:t xml:space="preserve">Quelles sont les représentations sociales de la population liée aux </w:t>
      </w:r>
      <w:r w:rsidRPr="0045534F">
        <w:rPr>
          <w:sz w:val="24"/>
          <w:szCs w:val="24"/>
        </w:rPr>
        <w:lastRenderedPageBreak/>
        <w:t>enregistrements de</w:t>
      </w:r>
      <w:r>
        <w:rPr>
          <w:sz w:val="24"/>
          <w:szCs w:val="24"/>
        </w:rPr>
        <w:t>s</w:t>
      </w:r>
      <w:r w:rsidRPr="0045534F">
        <w:rPr>
          <w:sz w:val="24"/>
          <w:szCs w:val="24"/>
        </w:rPr>
        <w:t xml:space="preserve"> décès ?</w:t>
      </w:r>
    </w:p>
    <w:p w14:paraId="18EE09AC" w14:textId="77777777" w:rsidR="00CE4F3B" w:rsidRPr="0045534F" w:rsidRDefault="00CE4F3B" w:rsidP="00CE4F3B">
      <w:pPr>
        <w:pStyle w:val="BodyText"/>
        <w:numPr>
          <w:ilvl w:val="0"/>
          <w:numId w:val="3"/>
        </w:numPr>
        <w:spacing w:after="120"/>
        <w:jc w:val="both"/>
        <w:rPr>
          <w:sz w:val="24"/>
          <w:szCs w:val="24"/>
        </w:rPr>
      </w:pPr>
      <w:r w:rsidRPr="0045534F">
        <w:rPr>
          <w:sz w:val="24"/>
          <w:szCs w:val="24"/>
        </w:rPr>
        <w:t xml:space="preserve">Comment ces représentations sociales </w:t>
      </w:r>
      <w:r>
        <w:rPr>
          <w:sz w:val="24"/>
          <w:szCs w:val="24"/>
        </w:rPr>
        <w:t xml:space="preserve">engendrent-elles </w:t>
      </w:r>
      <w:r w:rsidRPr="0045534F">
        <w:rPr>
          <w:sz w:val="24"/>
          <w:szCs w:val="24"/>
        </w:rPr>
        <w:t>un mécanisme qui a un impact sur la qualité des enregistrements de mortalité ? Pourtant, c’est l'une des sources de données essentielles à la surveillance de la santé publique et la planification et l'évaluation des politiques publiques</w:t>
      </w:r>
      <w:r>
        <w:rPr>
          <w:sz w:val="24"/>
          <w:szCs w:val="24"/>
        </w:rPr>
        <w:t xml:space="preserve"> ;</w:t>
      </w:r>
    </w:p>
    <w:p w14:paraId="7EF5BC2F" w14:textId="77777777" w:rsidR="00CE4F3B" w:rsidRPr="0045534F" w:rsidRDefault="00CE4F3B" w:rsidP="00CE4F3B">
      <w:pPr>
        <w:pStyle w:val="BodyText"/>
        <w:numPr>
          <w:ilvl w:val="0"/>
          <w:numId w:val="3"/>
        </w:numPr>
        <w:spacing w:after="120"/>
        <w:jc w:val="both"/>
        <w:rPr>
          <w:sz w:val="24"/>
          <w:szCs w:val="24"/>
        </w:rPr>
      </w:pPr>
      <w:r w:rsidRPr="0045534F">
        <w:rPr>
          <w:sz w:val="24"/>
          <w:szCs w:val="24"/>
        </w:rPr>
        <w:t>Quels sont les déterminants d’ordre qualitatif qui entravent l’enregistrement des décès entre les sexes</w:t>
      </w:r>
      <w:r>
        <w:rPr>
          <w:sz w:val="24"/>
          <w:szCs w:val="24"/>
        </w:rPr>
        <w:t xml:space="preserve">, </w:t>
      </w:r>
      <w:r w:rsidRPr="0045534F">
        <w:rPr>
          <w:sz w:val="24"/>
          <w:szCs w:val="24"/>
        </w:rPr>
        <w:t xml:space="preserve">les </w:t>
      </w:r>
      <w:r>
        <w:rPr>
          <w:sz w:val="24"/>
          <w:szCs w:val="24"/>
        </w:rPr>
        <w:t xml:space="preserve">milieux de résidence et les </w:t>
      </w:r>
      <w:r w:rsidRPr="0045534F">
        <w:rPr>
          <w:sz w:val="24"/>
          <w:szCs w:val="24"/>
        </w:rPr>
        <w:t>régions ?</w:t>
      </w:r>
    </w:p>
    <w:p w14:paraId="344159D3" w14:textId="77777777" w:rsidR="00CE4F3B" w:rsidRPr="0045534F" w:rsidRDefault="00CE4F3B" w:rsidP="00CE4F3B">
      <w:pPr>
        <w:pStyle w:val="BodyText"/>
        <w:numPr>
          <w:ilvl w:val="0"/>
          <w:numId w:val="3"/>
        </w:numPr>
        <w:spacing w:after="120"/>
        <w:jc w:val="both"/>
        <w:rPr>
          <w:sz w:val="24"/>
          <w:szCs w:val="24"/>
        </w:rPr>
      </w:pPr>
      <w:r w:rsidRPr="0045534F">
        <w:rPr>
          <w:sz w:val="24"/>
          <w:szCs w:val="24"/>
        </w:rPr>
        <w:t>Comment l’adoption de telle approche qualitative peut-elle renforcer l’évaluation nationale du système des statistiques de l’état civil ?</w:t>
      </w:r>
    </w:p>
    <w:p w14:paraId="4A1FCC24" w14:textId="77777777" w:rsidR="00CE4F3B" w:rsidRDefault="00CE4F3B" w:rsidP="00CE4F3B">
      <w:pPr>
        <w:pStyle w:val="BodyText"/>
        <w:numPr>
          <w:ilvl w:val="0"/>
          <w:numId w:val="3"/>
        </w:numPr>
        <w:spacing w:after="120"/>
        <w:jc w:val="both"/>
        <w:rPr>
          <w:sz w:val="24"/>
          <w:szCs w:val="24"/>
        </w:rPr>
      </w:pPr>
      <w:r>
        <w:rPr>
          <w:sz w:val="24"/>
          <w:szCs w:val="24"/>
        </w:rPr>
        <w:t>Quels sont les liens</w:t>
      </w:r>
      <w:r w:rsidRPr="0045534F">
        <w:rPr>
          <w:sz w:val="24"/>
          <w:szCs w:val="24"/>
        </w:rPr>
        <w:t xml:space="preserve"> entre le sous-enregistrement des décès féminins et le</w:t>
      </w:r>
      <w:r>
        <w:rPr>
          <w:sz w:val="24"/>
          <w:szCs w:val="24"/>
        </w:rPr>
        <w:t>s</w:t>
      </w:r>
      <w:r w:rsidRPr="0045534F">
        <w:rPr>
          <w:sz w:val="24"/>
          <w:szCs w:val="24"/>
        </w:rPr>
        <w:t xml:space="preserve"> </w:t>
      </w:r>
      <w:r>
        <w:rPr>
          <w:sz w:val="24"/>
          <w:szCs w:val="24"/>
        </w:rPr>
        <w:t>représentations de genre qui prévalent dans le contexte rural de la société marocaine ?</w:t>
      </w:r>
    </w:p>
    <w:p w14:paraId="40E76EC6" w14:textId="77777777" w:rsidR="00CE4F3B" w:rsidRDefault="00CE4F3B" w:rsidP="00CE4F3B">
      <w:pPr>
        <w:pStyle w:val="BodyText"/>
        <w:spacing w:after="120"/>
        <w:jc w:val="both"/>
        <w:rPr>
          <w:sz w:val="24"/>
          <w:szCs w:val="24"/>
        </w:rPr>
      </w:pPr>
    </w:p>
    <w:p w14:paraId="099178C6" w14:textId="77777777" w:rsidR="00CE4F3B" w:rsidRPr="0077048B" w:rsidRDefault="00CE4F3B" w:rsidP="00CE4F3B">
      <w:pPr>
        <w:pStyle w:val="BodyText"/>
        <w:spacing w:after="120"/>
        <w:jc w:val="both"/>
        <w:rPr>
          <w:rFonts w:asciiTheme="minorBidi" w:hAnsiTheme="minorBidi" w:cstheme="minorBidi"/>
          <w:sz w:val="24"/>
          <w:szCs w:val="24"/>
        </w:rPr>
      </w:pPr>
      <w:r w:rsidRPr="0077048B">
        <w:rPr>
          <w:rFonts w:asciiTheme="minorBidi" w:hAnsiTheme="minorBidi" w:cstheme="minorBidi"/>
          <w:sz w:val="24"/>
          <w:szCs w:val="24"/>
        </w:rPr>
        <w:t xml:space="preserve">Il est recommandé de mener l’étude auprès d'un échantillon de population rurale dans deux régions différentes, celle de Béni Mellal-Khénifra (ayant comme chef-lieu la ville de Béni-Mellal) qui </w:t>
      </w:r>
      <w:r>
        <w:rPr>
          <w:rFonts w:asciiTheme="minorBidi" w:hAnsiTheme="minorBidi" w:cstheme="minorBidi"/>
          <w:sz w:val="24"/>
          <w:szCs w:val="24"/>
        </w:rPr>
        <w:t>abrite</w:t>
      </w:r>
      <w:r w:rsidRPr="0077048B">
        <w:rPr>
          <w:rFonts w:asciiTheme="minorBidi" w:hAnsiTheme="minorBidi" w:cstheme="minorBidi"/>
          <w:sz w:val="24"/>
          <w:szCs w:val="24"/>
        </w:rPr>
        <w:t xml:space="preserve"> des communes rurales parmi les plus démunies à l’échelle nationale et la région du Grand Casablanca-Settat (ayant comme chef-lieu la ville de Casablanca) qui compte parmi les régions les plus urbanisées, afin de comparer les résultats des deux régions.</w:t>
      </w:r>
    </w:p>
    <w:p w14:paraId="2CD30B6A" w14:textId="77777777" w:rsidR="00CE4F3B" w:rsidRPr="00DC6450" w:rsidRDefault="00CE4F3B" w:rsidP="00CE4F3B">
      <w:pPr>
        <w:pStyle w:val="BodyText"/>
        <w:spacing w:after="120"/>
        <w:jc w:val="both"/>
        <w:rPr>
          <w:sz w:val="24"/>
          <w:szCs w:val="24"/>
        </w:rPr>
      </w:pPr>
    </w:p>
    <w:p w14:paraId="37699FED" w14:textId="77777777" w:rsidR="00CE4F3B" w:rsidRPr="00AC6188" w:rsidRDefault="00CE4F3B" w:rsidP="00CE4F3B">
      <w:pPr>
        <w:pStyle w:val="Heading11"/>
        <w:numPr>
          <w:ilvl w:val="0"/>
          <w:numId w:val="4"/>
        </w:numPr>
        <w:tabs>
          <w:tab w:val="left" w:pos="1195"/>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Les attentes de la consultation </w:t>
      </w:r>
    </w:p>
    <w:p w14:paraId="6A290656" w14:textId="77777777" w:rsidR="00CE4F3B" w:rsidRPr="00AC6188" w:rsidRDefault="00CE4F3B" w:rsidP="00CE4F3B">
      <w:pPr>
        <w:pStyle w:val="BodyText"/>
        <w:rPr>
          <w:rFonts w:asciiTheme="minorBidi" w:hAnsiTheme="minorBidi" w:cstheme="minorBidi"/>
          <w:b/>
          <w:sz w:val="24"/>
          <w:szCs w:val="24"/>
        </w:rPr>
      </w:pPr>
    </w:p>
    <w:p w14:paraId="42E4F6C5" w14:textId="77777777" w:rsidR="00CE4F3B" w:rsidRPr="00AC6188" w:rsidRDefault="00CE4F3B" w:rsidP="00CE4F3B">
      <w:pPr>
        <w:pStyle w:val="BodyText"/>
        <w:spacing w:after="120"/>
        <w:jc w:val="both"/>
        <w:rPr>
          <w:rFonts w:asciiTheme="minorBidi" w:hAnsiTheme="minorBidi" w:cstheme="minorBidi"/>
          <w:sz w:val="24"/>
          <w:szCs w:val="24"/>
        </w:rPr>
      </w:pPr>
      <w:r w:rsidRPr="00AC6188">
        <w:rPr>
          <w:rFonts w:asciiTheme="minorBidi" w:hAnsiTheme="minorBidi" w:cstheme="minorBidi"/>
          <w:sz w:val="24"/>
          <w:szCs w:val="24"/>
        </w:rPr>
        <w:t>La mission du consultant consistera principalement en</w:t>
      </w:r>
      <w:r>
        <w:rPr>
          <w:rFonts w:asciiTheme="minorBidi" w:hAnsiTheme="minorBidi" w:cstheme="minorBidi"/>
          <w:sz w:val="24"/>
          <w:szCs w:val="24"/>
        </w:rPr>
        <w:t xml:space="preserve"> </w:t>
      </w:r>
      <w:r w:rsidRPr="00AC6188">
        <w:rPr>
          <w:rFonts w:asciiTheme="minorBidi" w:hAnsiTheme="minorBidi" w:cstheme="minorBidi"/>
          <w:sz w:val="24"/>
          <w:szCs w:val="24"/>
        </w:rPr>
        <w:t>:</w:t>
      </w:r>
    </w:p>
    <w:p w14:paraId="64DBC220" w14:textId="77777777" w:rsidR="00CE4F3B" w:rsidRDefault="00CE4F3B" w:rsidP="00CE4F3B">
      <w:pPr>
        <w:pStyle w:val="BodyText"/>
        <w:numPr>
          <w:ilvl w:val="1"/>
          <w:numId w:val="2"/>
        </w:numPr>
        <w:spacing w:after="120"/>
        <w:ind w:left="1553" w:hanging="357"/>
        <w:jc w:val="both"/>
        <w:rPr>
          <w:rFonts w:asciiTheme="minorBidi" w:hAnsiTheme="minorBidi" w:cstheme="minorBidi"/>
          <w:sz w:val="24"/>
          <w:szCs w:val="24"/>
        </w:rPr>
      </w:pPr>
      <w:r>
        <w:rPr>
          <w:sz w:val="24"/>
          <w:szCs w:val="24"/>
          <w:lang w:val="fr-MA" w:bidi="ar-MA"/>
        </w:rPr>
        <w:t>Une r</w:t>
      </w:r>
      <w:r w:rsidRPr="00CD0110">
        <w:rPr>
          <w:sz w:val="24"/>
          <w:szCs w:val="24"/>
          <w:lang w:val="fr-MA" w:bidi="ar-MA"/>
        </w:rPr>
        <w:t>echerche ethnographique (documentaire, revue de littérature, rapports, études, donn</w:t>
      </w:r>
      <w:r>
        <w:rPr>
          <w:sz w:val="24"/>
          <w:szCs w:val="24"/>
          <w:lang w:val="fr-MA" w:bidi="ar-MA"/>
        </w:rPr>
        <w:t>é</w:t>
      </w:r>
      <w:r w:rsidRPr="00CD0110">
        <w:rPr>
          <w:sz w:val="24"/>
          <w:szCs w:val="24"/>
          <w:lang w:val="fr-MA" w:bidi="ar-MA"/>
        </w:rPr>
        <w:t>es statistiques, articles académiques…) qui permettra de construire une vision globale sur l’objet</w:t>
      </w:r>
      <w:r>
        <w:rPr>
          <w:sz w:val="24"/>
          <w:szCs w:val="24"/>
          <w:lang w:val="fr-MA" w:bidi="ar-MA"/>
        </w:rPr>
        <w:t xml:space="preserve"> de l'étude;</w:t>
      </w:r>
      <w:r w:rsidRPr="00CD0110">
        <w:rPr>
          <w:sz w:val="24"/>
          <w:szCs w:val="24"/>
          <w:lang w:val="fr-MA" w:bidi="ar-MA"/>
        </w:rPr>
        <w:t> </w:t>
      </w:r>
    </w:p>
    <w:p w14:paraId="5DB3284E" w14:textId="77777777" w:rsidR="00CE4F3B" w:rsidRDefault="00CE4F3B" w:rsidP="00CE4F3B">
      <w:pPr>
        <w:pStyle w:val="BodyText"/>
        <w:numPr>
          <w:ilvl w:val="1"/>
          <w:numId w:val="2"/>
        </w:numPr>
        <w:spacing w:after="120"/>
        <w:ind w:left="1553" w:hanging="357"/>
        <w:jc w:val="both"/>
        <w:rPr>
          <w:rFonts w:asciiTheme="minorBidi" w:hAnsiTheme="minorBidi" w:cstheme="minorBidi"/>
          <w:sz w:val="24"/>
          <w:szCs w:val="24"/>
        </w:rPr>
      </w:pPr>
      <w:r>
        <w:rPr>
          <w:rFonts w:asciiTheme="minorBidi" w:hAnsiTheme="minorBidi" w:cstheme="minorBidi"/>
          <w:sz w:val="24"/>
          <w:szCs w:val="24"/>
        </w:rPr>
        <w:t>La r</w:t>
      </w:r>
      <w:r w:rsidRPr="00AC6188">
        <w:rPr>
          <w:rFonts w:asciiTheme="minorBidi" w:hAnsiTheme="minorBidi" w:cstheme="minorBidi"/>
          <w:sz w:val="24"/>
          <w:szCs w:val="24"/>
        </w:rPr>
        <w:t xml:space="preserve">édaction d’une note conceptuelle de l’enquête </w:t>
      </w:r>
      <w:r w:rsidRPr="00EA5617">
        <w:rPr>
          <w:sz w:val="24"/>
          <w:szCs w:val="24"/>
        </w:rPr>
        <w:t xml:space="preserve">qualitative </w:t>
      </w:r>
      <w:r>
        <w:rPr>
          <w:sz w:val="24"/>
          <w:szCs w:val="24"/>
        </w:rPr>
        <w:t xml:space="preserve">à mener en </w:t>
      </w:r>
      <w:r w:rsidRPr="00AC6188">
        <w:rPr>
          <w:rFonts w:asciiTheme="minorBidi" w:hAnsiTheme="minorBidi" w:cstheme="minorBidi"/>
          <w:sz w:val="24"/>
          <w:szCs w:val="24"/>
        </w:rPr>
        <w:t xml:space="preserve">traçant les </w:t>
      </w:r>
      <w:r>
        <w:rPr>
          <w:rFonts w:asciiTheme="minorBidi" w:hAnsiTheme="minorBidi" w:cstheme="minorBidi"/>
          <w:sz w:val="24"/>
          <w:szCs w:val="24"/>
        </w:rPr>
        <w:t xml:space="preserve">sous </w:t>
      </w:r>
      <w:r w:rsidRPr="00AC6188">
        <w:rPr>
          <w:rFonts w:asciiTheme="minorBidi" w:hAnsiTheme="minorBidi" w:cstheme="minorBidi"/>
          <w:sz w:val="24"/>
          <w:szCs w:val="24"/>
        </w:rPr>
        <w:t>objectifs, les différentes thématiques qu’elle doit aborder et la méthodologie à suivre pour la réaliser. Cette note constituera la feuille de route d’un consultant pour la réalisation de l’enquête et lui tracera les différentes étapes à suivre et la méthodologie de la réalisation de l’enquête ;</w:t>
      </w:r>
    </w:p>
    <w:p w14:paraId="3D1E1AA4" w14:textId="77777777" w:rsidR="00CE4F3B" w:rsidRPr="002E4875" w:rsidRDefault="00CE4F3B" w:rsidP="00CE4F3B">
      <w:pPr>
        <w:pStyle w:val="BodyText"/>
        <w:numPr>
          <w:ilvl w:val="1"/>
          <w:numId w:val="2"/>
        </w:numPr>
        <w:spacing w:after="120"/>
        <w:ind w:left="1553" w:hanging="357"/>
        <w:jc w:val="both"/>
        <w:rPr>
          <w:rFonts w:asciiTheme="minorBidi" w:hAnsiTheme="minorBidi" w:cstheme="minorBidi"/>
          <w:sz w:val="24"/>
          <w:szCs w:val="24"/>
        </w:rPr>
      </w:pPr>
      <w:r w:rsidRPr="002E4875">
        <w:rPr>
          <w:rFonts w:asciiTheme="minorBidi" w:hAnsiTheme="minorBidi" w:cstheme="minorBidi"/>
          <w:sz w:val="24"/>
          <w:szCs w:val="24"/>
        </w:rPr>
        <w:t>La construction des outils et techniques de collecte de donn</w:t>
      </w:r>
      <w:r>
        <w:rPr>
          <w:rFonts w:asciiTheme="minorBidi" w:hAnsiTheme="minorBidi" w:cstheme="minorBidi"/>
          <w:sz w:val="24"/>
          <w:szCs w:val="24"/>
        </w:rPr>
        <w:t>é</w:t>
      </w:r>
      <w:r w:rsidRPr="002E4875">
        <w:rPr>
          <w:rFonts w:asciiTheme="minorBidi" w:hAnsiTheme="minorBidi" w:cstheme="minorBidi"/>
          <w:sz w:val="24"/>
          <w:szCs w:val="24"/>
        </w:rPr>
        <w:t>es (</w:t>
      </w:r>
      <w:r>
        <w:rPr>
          <w:rFonts w:asciiTheme="minorBidi" w:hAnsiTheme="minorBidi" w:cstheme="minorBidi"/>
          <w:sz w:val="24"/>
          <w:szCs w:val="24"/>
        </w:rPr>
        <w:t xml:space="preserve">focus groupe, </w:t>
      </w:r>
      <w:r w:rsidRPr="002E4875">
        <w:rPr>
          <w:rFonts w:asciiTheme="minorBidi" w:hAnsiTheme="minorBidi" w:cstheme="minorBidi"/>
          <w:sz w:val="24"/>
          <w:szCs w:val="24"/>
        </w:rPr>
        <w:t>gri</w:t>
      </w:r>
      <w:r>
        <w:rPr>
          <w:rFonts w:asciiTheme="minorBidi" w:hAnsiTheme="minorBidi" w:cstheme="minorBidi"/>
          <w:sz w:val="24"/>
          <w:szCs w:val="24"/>
        </w:rPr>
        <w:t>lle</w:t>
      </w:r>
      <w:r w:rsidRPr="002E4875">
        <w:rPr>
          <w:rFonts w:asciiTheme="minorBidi" w:hAnsiTheme="minorBidi" w:cstheme="minorBidi"/>
          <w:sz w:val="24"/>
          <w:szCs w:val="24"/>
        </w:rPr>
        <w:t xml:space="preserve"> d’observation, guide d’entretien semi-directive) ;</w:t>
      </w:r>
    </w:p>
    <w:p w14:paraId="46F0EB68" w14:textId="77777777" w:rsidR="00CE4F3B" w:rsidRDefault="00CE4F3B" w:rsidP="00CE4F3B">
      <w:pPr>
        <w:pStyle w:val="BodyText"/>
        <w:numPr>
          <w:ilvl w:val="1"/>
          <w:numId w:val="2"/>
        </w:numPr>
        <w:spacing w:after="120"/>
        <w:ind w:left="1553" w:hanging="357"/>
        <w:jc w:val="both"/>
        <w:rPr>
          <w:rFonts w:asciiTheme="minorBidi" w:hAnsiTheme="minorBidi" w:cstheme="minorBidi"/>
          <w:sz w:val="24"/>
          <w:szCs w:val="24"/>
        </w:rPr>
      </w:pPr>
      <w:r>
        <w:rPr>
          <w:rFonts w:asciiTheme="minorBidi" w:hAnsiTheme="minorBidi" w:cstheme="minorBidi"/>
          <w:sz w:val="24"/>
          <w:szCs w:val="24"/>
        </w:rPr>
        <w:t>Sur la base de la méthodologie de l'enquête retenue pour la collecte des données, le consultant devra piloter ladite enquête;</w:t>
      </w:r>
    </w:p>
    <w:p w14:paraId="2383C8DA" w14:textId="77777777" w:rsidR="00CE4F3B" w:rsidRDefault="00CE4F3B" w:rsidP="00CE4F3B">
      <w:pPr>
        <w:pStyle w:val="BodyText"/>
        <w:numPr>
          <w:ilvl w:val="1"/>
          <w:numId w:val="2"/>
        </w:numPr>
        <w:spacing w:after="120"/>
        <w:ind w:left="1553" w:hanging="357"/>
        <w:jc w:val="both"/>
        <w:rPr>
          <w:rFonts w:asciiTheme="minorBidi" w:hAnsiTheme="minorBidi" w:cstheme="minorBidi"/>
          <w:sz w:val="24"/>
          <w:szCs w:val="24"/>
        </w:rPr>
      </w:pPr>
      <w:r w:rsidRPr="00AC6188">
        <w:rPr>
          <w:rFonts w:asciiTheme="minorBidi" w:hAnsiTheme="minorBidi" w:cstheme="minorBidi"/>
          <w:sz w:val="24"/>
          <w:szCs w:val="24"/>
        </w:rPr>
        <w:t xml:space="preserve">La rédaction </w:t>
      </w:r>
      <w:r>
        <w:rPr>
          <w:rFonts w:asciiTheme="minorBidi" w:hAnsiTheme="minorBidi" w:cstheme="minorBidi"/>
          <w:sz w:val="24"/>
          <w:szCs w:val="24"/>
        </w:rPr>
        <w:t>des rapports de l'enquête et de l'étude.</w:t>
      </w:r>
    </w:p>
    <w:p w14:paraId="11BD2565" w14:textId="77777777" w:rsidR="00CE4F3B" w:rsidRDefault="00CE4F3B" w:rsidP="00CE4F3B">
      <w:pPr>
        <w:pStyle w:val="Normal1"/>
        <w:spacing w:after="120"/>
        <w:jc w:val="both"/>
        <w:rPr>
          <w:rFonts w:asciiTheme="minorBidi" w:hAnsiTheme="minorBidi" w:cstheme="minorBidi"/>
          <w:sz w:val="24"/>
          <w:szCs w:val="24"/>
        </w:rPr>
      </w:pPr>
    </w:p>
    <w:p w14:paraId="20505123" w14:textId="77777777" w:rsidR="00CE4F3B" w:rsidRPr="00AC6188" w:rsidRDefault="00CE4F3B" w:rsidP="00CE4F3B">
      <w:pPr>
        <w:pStyle w:val="Normal1"/>
        <w:spacing w:after="120"/>
        <w:jc w:val="both"/>
        <w:rPr>
          <w:rFonts w:asciiTheme="minorBidi" w:hAnsiTheme="minorBidi" w:cstheme="minorBidi"/>
          <w:sz w:val="24"/>
          <w:szCs w:val="24"/>
        </w:rPr>
      </w:pPr>
      <w:r w:rsidRPr="00AC6188">
        <w:rPr>
          <w:rFonts w:asciiTheme="minorBidi" w:hAnsiTheme="minorBidi" w:cstheme="minorBidi"/>
          <w:sz w:val="24"/>
          <w:szCs w:val="24"/>
        </w:rPr>
        <w:t>L</w:t>
      </w:r>
      <w:r>
        <w:rPr>
          <w:rFonts w:asciiTheme="minorBidi" w:hAnsiTheme="minorBidi" w:cstheme="minorBidi"/>
          <w:sz w:val="24"/>
          <w:szCs w:val="24"/>
        </w:rPr>
        <w:t xml:space="preserve">e </w:t>
      </w:r>
      <w:r w:rsidRPr="00AC6188">
        <w:rPr>
          <w:rFonts w:asciiTheme="minorBidi" w:hAnsiTheme="minorBidi" w:cstheme="minorBidi"/>
          <w:sz w:val="24"/>
          <w:szCs w:val="24"/>
        </w:rPr>
        <w:t>consulta</w:t>
      </w:r>
      <w:r>
        <w:rPr>
          <w:rFonts w:asciiTheme="minorBidi" w:hAnsiTheme="minorBidi" w:cstheme="minorBidi"/>
          <w:sz w:val="24"/>
          <w:szCs w:val="24"/>
        </w:rPr>
        <w:t xml:space="preserve">nt </w:t>
      </w:r>
      <w:r w:rsidRPr="00AC6188">
        <w:rPr>
          <w:rFonts w:asciiTheme="minorBidi" w:hAnsiTheme="minorBidi" w:cstheme="minorBidi"/>
          <w:sz w:val="24"/>
          <w:szCs w:val="24"/>
        </w:rPr>
        <w:t>va tenir des réunions de coordination et de validation avec le comité de suivi du programme de travail du partenariat entre le Haut-</w:t>
      </w:r>
      <w:r>
        <w:rPr>
          <w:rFonts w:asciiTheme="minorBidi" w:hAnsiTheme="minorBidi" w:cstheme="minorBidi"/>
          <w:sz w:val="24"/>
          <w:szCs w:val="24"/>
        </w:rPr>
        <w:t>c</w:t>
      </w:r>
      <w:r w:rsidRPr="00AC6188">
        <w:rPr>
          <w:rFonts w:asciiTheme="minorBidi" w:hAnsiTheme="minorBidi" w:cstheme="minorBidi"/>
          <w:sz w:val="24"/>
          <w:szCs w:val="24"/>
        </w:rPr>
        <w:t>ommissariat au Plan et l</w:t>
      </w:r>
      <w:r>
        <w:rPr>
          <w:rFonts w:asciiTheme="minorBidi" w:hAnsiTheme="minorBidi" w:cstheme="minorBidi"/>
          <w:sz w:val="24"/>
          <w:szCs w:val="24"/>
        </w:rPr>
        <w:t>’</w:t>
      </w:r>
      <w:r w:rsidRPr="00AC6188">
        <w:rPr>
          <w:rFonts w:asciiTheme="minorBidi" w:hAnsiTheme="minorBidi" w:cstheme="minorBidi"/>
          <w:sz w:val="24"/>
          <w:szCs w:val="24"/>
        </w:rPr>
        <w:t xml:space="preserve">UNFPA. </w:t>
      </w:r>
    </w:p>
    <w:p w14:paraId="44455D18" w14:textId="77777777" w:rsidR="00CE4F3B" w:rsidRPr="00AC6188" w:rsidRDefault="00CE4F3B" w:rsidP="00CE4F3B">
      <w:pPr>
        <w:pStyle w:val="BodyText"/>
        <w:rPr>
          <w:rFonts w:asciiTheme="minorBidi" w:hAnsiTheme="minorBidi" w:cstheme="minorBidi"/>
          <w:sz w:val="24"/>
          <w:szCs w:val="24"/>
        </w:rPr>
      </w:pPr>
    </w:p>
    <w:p w14:paraId="34113018" w14:textId="77777777" w:rsidR="00CE4F3B" w:rsidRPr="00AC6188" w:rsidRDefault="00CE4F3B" w:rsidP="00CE4F3B">
      <w:pPr>
        <w:pStyle w:val="Heading11"/>
        <w:numPr>
          <w:ilvl w:val="0"/>
          <w:numId w:val="4"/>
        </w:numPr>
        <w:tabs>
          <w:tab w:val="left" w:pos="1195"/>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Tâches du consultant</w:t>
      </w:r>
    </w:p>
    <w:p w14:paraId="126EE269" w14:textId="77777777" w:rsidR="00CE4F3B" w:rsidRPr="00AC6188" w:rsidRDefault="00CE4F3B" w:rsidP="00CE4F3B">
      <w:pPr>
        <w:pStyle w:val="BodyText"/>
        <w:rPr>
          <w:rFonts w:asciiTheme="minorBidi" w:hAnsiTheme="minorBidi" w:cstheme="minorBidi"/>
          <w:b/>
          <w:sz w:val="24"/>
          <w:szCs w:val="24"/>
        </w:rPr>
      </w:pPr>
    </w:p>
    <w:p w14:paraId="42F099E1" w14:textId="77777777" w:rsidR="00CE4F3B" w:rsidRPr="00AC6188" w:rsidRDefault="00CE4F3B" w:rsidP="00CE4F3B">
      <w:pPr>
        <w:pStyle w:val="BodyText"/>
        <w:spacing w:after="120"/>
        <w:jc w:val="both"/>
        <w:rPr>
          <w:rFonts w:asciiTheme="minorBidi" w:hAnsiTheme="minorBidi" w:cstheme="minorBidi"/>
          <w:sz w:val="24"/>
          <w:szCs w:val="24"/>
        </w:rPr>
      </w:pPr>
      <w:r w:rsidRPr="00AC6188">
        <w:rPr>
          <w:rFonts w:asciiTheme="minorBidi" w:hAnsiTheme="minorBidi" w:cstheme="minorBidi"/>
          <w:sz w:val="24"/>
          <w:szCs w:val="24"/>
        </w:rPr>
        <w:t>Le consultant travaillera sous la responsabilité d’un comité de suivi, formé des représentants du HCP, au niveau central, qui validera les livrables.</w:t>
      </w:r>
    </w:p>
    <w:p w14:paraId="234C2E5F" w14:textId="77777777" w:rsidR="00CE4F3B" w:rsidRPr="00AC6188" w:rsidRDefault="00CE4F3B" w:rsidP="00CE4F3B">
      <w:pPr>
        <w:pStyle w:val="BodyText"/>
        <w:spacing w:after="120"/>
        <w:jc w:val="both"/>
        <w:rPr>
          <w:rFonts w:asciiTheme="minorBidi" w:hAnsiTheme="minorBidi" w:cstheme="minorBidi"/>
          <w:sz w:val="24"/>
          <w:szCs w:val="24"/>
        </w:rPr>
      </w:pPr>
      <w:r w:rsidRPr="00AC6188">
        <w:rPr>
          <w:rFonts w:asciiTheme="minorBidi" w:hAnsiTheme="minorBidi" w:cstheme="minorBidi"/>
          <w:sz w:val="24"/>
          <w:szCs w:val="24"/>
        </w:rPr>
        <w:t>La mission du consultant consistera principalement à travailler avec l’équipe technique,</w:t>
      </w:r>
      <w:r>
        <w:rPr>
          <w:rFonts w:asciiTheme="minorBidi" w:hAnsiTheme="minorBidi" w:cstheme="minorBidi"/>
          <w:sz w:val="24"/>
          <w:szCs w:val="24"/>
        </w:rPr>
        <w:t xml:space="preserve"> </w:t>
      </w:r>
      <w:r w:rsidRPr="00AC6188">
        <w:rPr>
          <w:rFonts w:asciiTheme="minorBidi" w:hAnsiTheme="minorBidi" w:cstheme="minorBidi"/>
          <w:sz w:val="24"/>
          <w:szCs w:val="24"/>
        </w:rPr>
        <w:t>du C</w:t>
      </w:r>
      <w:r>
        <w:rPr>
          <w:rFonts w:asciiTheme="minorBidi" w:hAnsiTheme="minorBidi" w:cstheme="minorBidi"/>
          <w:sz w:val="24"/>
          <w:szCs w:val="24"/>
        </w:rPr>
        <w:t>entre d'étude et de recherches démographiques et de l</w:t>
      </w:r>
      <w:r w:rsidRPr="00AC6188">
        <w:rPr>
          <w:rFonts w:asciiTheme="minorBidi" w:hAnsiTheme="minorBidi" w:cstheme="minorBidi"/>
          <w:sz w:val="24"/>
          <w:szCs w:val="24"/>
        </w:rPr>
        <w:t>a D</w:t>
      </w:r>
      <w:r>
        <w:rPr>
          <w:rFonts w:asciiTheme="minorBidi" w:hAnsiTheme="minorBidi" w:cstheme="minorBidi"/>
          <w:sz w:val="24"/>
          <w:szCs w:val="24"/>
        </w:rPr>
        <w:t xml:space="preserve">irection de la </w:t>
      </w:r>
      <w:r w:rsidRPr="00AC6188">
        <w:rPr>
          <w:rFonts w:asciiTheme="minorBidi" w:hAnsiTheme="minorBidi" w:cstheme="minorBidi"/>
          <w:sz w:val="24"/>
          <w:szCs w:val="24"/>
        </w:rPr>
        <w:t>S</w:t>
      </w:r>
      <w:r>
        <w:rPr>
          <w:rFonts w:asciiTheme="minorBidi" w:hAnsiTheme="minorBidi" w:cstheme="minorBidi"/>
          <w:sz w:val="24"/>
          <w:szCs w:val="24"/>
        </w:rPr>
        <w:t xml:space="preserve">tatistique </w:t>
      </w:r>
      <w:r w:rsidRPr="00AC6188">
        <w:rPr>
          <w:rFonts w:asciiTheme="minorBidi" w:hAnsiTheme="minorBidi" w:cstheme="minorBidi"/>
          <w:sz w:val="24"/>
          <w:szCs w:val="24"/>
        </w:rPr>
        <w:t>dans ces différentes étapes allant de la conception à la proposition de</w:t>
      </w:r>
      <w:r>
        <w:rPr>
          <w:rFonts w:asciiTheme="minorBidi" w:hAnsiTheme="minorBidi" w:cstheme="minorBidi"/>
          <w:sz w:val="24"/>
          <w:szCs w:val="24"/>
        </w:rPr>
        <w:t>s</w:t>
      </w:r>
      <w:r w:rsidRPr="00AC6188">
        <w:rPr>
          <w:rFonts w:asciiTheme="minorBidi" w:hAnsiTheme="minorBidi" w:cstheme="minorBidi"/>
          <w:sz w:val="24"/>
          <w:szCs w:val="24"/>
        </w:rPr>
        <w:t xml:space="preserve"> thématiques du rapport final en passant par la phase de collecte des données</w:t>
      </w:r>
      <w:r>
        <w:rPr>
          <w:rFonts w:asciiTheme="minorBidi" w:hAnsiTheme="minorBidi" w:cstheme="minorBidi"/>
          <w:sz w:val="24"/>
          <w:szCs w:val="24"/>
        </w:rPr>
        <w:t xml:space="preserve">. Il </w:t>
      </w:r>
      <w:r w:rsidRPr="00AC6188">
        <w:rPr>
          <w:rFonts w:asciiTheme="minorBidi" w:hAnsiTheme="minorBidi" w:cstheme="minorBidi"/>
          <w:sz w:val="24"/>
          <w:szCs w:val="24"/>
        </w:rPr>
        <w:t xml:space="preserve">s’agit notamment de : </w:t>
      </w:r>
    </w:p>
    <w:p w14:paraId="3C9BBFFD" w14:textId="77777777" w:rsidR="00CE4F3B" w:rsidRPr="00AC6188" w:rsidRDefault="00CE4F3B" w:rsidP="00CE4F3B">
      <w:pPr>
        <w:pStyle w:val="BodyText"/>
        <w:jc w:val="both"/>
        <w:rPr>
          <w:rFonts w:asciiTheme="minorBidi" w:hAnsiTheme="minorBidi" w:cstheme="minorBidi"/>
          <w:sz w:val="24"/>
          <w:szCs w:val="24"/>
        </w:rPr>
      </w:pPr>
    </w:p>
    <w:p w14:paraId="3E211FB5" w14:textId="77777777" w:rsidR="00CE4F3B" w:rsidRDefault="00CE4F3B" w:rsidP="00CE4F3B">
      <w:pPr>
        <w:pStyle w:val="BodyText"/>
        <w:numPr>
          <w:ilvl w:val="0"/>
          <w:numId w:val="1"/>
        </w:numPr>
        <w:jc w:val="both"/>
        <w:rPr>
          <w:rFonts w:asciiTheme="minorBidi" w:hAnsiTheme="minorBidi" w:cstheme="minorBidi"/>
          <w:sz w:val="24"/>
          <w:szCs w:val="24"/>
        </w:rPr>
      </w:pPr>
      <w:r w:rsidRPr="00700F13">
        <w:rPr>
          <w:rFonts w:asciiTheme="minorBidi" w:hAnsiTheme="minorBidi" w:cstheme="minorBidi"/>
          <w:sz w:val="24"/>
          <w:szCs w:val="24"/>
        </w:rPr>
        <w:t xml:space="preserve">Elaborer </w:t>
      </w:r>
      <w:r>
        <w:rPr>
          <w:rFonts w:asciiTheme="minorBidi" w:hAnsiTheme="minorBidi" w:cstheme="minorBidi"/>
          <w:sz w:val="24"/>
          <w:szCs w:val="24"/>
        </w:rPr>
        <w:t>une revue de littérature sur l'objet de l'étude;</w:t>
      </w:r>
    </w:p>
    <w:p w14:paraId="17CA3195" w14:textId="77777777" w:rsidR="00CE4F3B" w:rsidRPr="00700F13" w:rsidRDefault="00CE4F3B" w:rsidP="00CE4F3B">
      <w:pPr>
        <w:pStyle w:val="BodyText"/>
        <w:numPr>
          <w:ilvl w:val="0"/>
          <w:numId w:val="1"/>
        </w:numPr>
        <w:jc w:val="both"/>
        <w:rPr>
          <w:rFonts w:asciiTheme="minorBidi" w:hAnsiTheme="minorBidi" w:cstheme="minorBidi"/>
          <w:sz w:val="24"/>
          <w:szCs w:val="24"/>
        </w:rPr>
      </w:pPr>
      <w:r w:rsidRPr="00700F13">
        <w:rPr>
          <w:rFonts w:asciiTheme="minorBidi" w:hAnsiTheme="minorBidi" w:cstheme="minorBidi"/>
          <w:sz w:val="24"/>
          <w:szCs w:val="24"/>
        </w:rPr>
        <w:t>Elaborer une note méthodologique de l’enquête qualitative;</w:t>
      </w:r>
    </w:p>
    <w:p w14:paraId="42DCD7E7" w14:textId="77777777" w:rsidR="00CE4F3B" w:rsidRPr="00700F13" w:rsidRDefault="00CE4F3B" w:rsidP="00CE4F3B">
      <w:pPr>
        <w:pStyle w:val="BodyText"/>
        <w:numPr>
          <w:ilvl w:val="0"/>
          <w:numId w:val="1"/>
        </w:numPr>
        <w:jc w:val="both"/>
        <w:rPr>
          <w:rFonts w:asciiTheme="minorBidi" w:hAnsiTheme="minorBidi" w:cstheme="minorBidi"/>
          <w:sz w:val="24"/>
          <w:szCs w:val="24"/>
        </w:rPr>
      </w:pPr>
      <w:r w:rsidRPr="00700F13">
        <w:rPr>
          <w:rFonts w:asciiTheme="minorBidi" w:hAnsiTheme="minorBidi" w:cstheme="minorBidi"/>
          <w:sz w:val="24"/>
          <w:szCs w:val="24"/>
        </w:rPr>
        <w:t>Former les personnes responsables de mener l’enquête qualitative ;</w:t>
      </w:r>
    </w:p>
    <w:p w14:paraId="2D538A4B" w14:textId="77777777" w:rsidR="00CE4F3B" w:rsidRPr="00700F13" w:rsidRDefault="00CE4F3B" w:rsidP="00CE4F3B">
      <w:pPr>
        <w:pStyle w:val="BodyText"/>
        <w:numPr>
          <w:ilvl w:val="0"/>
          <w:numId w:val="1"/>
        </w:numPr>
        <w:jc w:val="both"/>
        <w:rPr>
          <w:rFonts w:asciiTheme="minorBidi" w:hAnsiTheme="minorBidi" w:cstheme="minorBidi"/>
          <w:sz w:val="24"/>
          <w:szCs w:val="24"/>
        </w:rPr>
      </w:pPr>
      <w:r w:rsidRPr="00700F13">
        <w:rPr>
          <w:rFonts w:asciiTheme="minorBidi" w:hAnsiTheme="minorBidi" w:cstheme="minorBidi"/>
          <w:sz w:val="24"/>
          <w:szCs w:val="24"/>
        </w:rPr>
        <w:t>Proposer les thématiques qui feront l’objet du rapport d’analyse</w:t>
      </w:r>
      <w:r>
        <w:rPr>
          <w:rFonts w:asciiTheme="minorBidi" w:hAnsiTheme="minorBidi" w:cstheme="minorBidi"/>
          <w:sz w:val="24"/>
          <w:szCs w:val="24"/>
        </w:rPr>
        <w:t> ;</w:t>
      </w:r>
    </w:p>
    <w:p w14:paraId="78ED1CC2" w14:textId="77777777" w:rsidR="00CE4F3B" w:rsidRDefault="00CE4F3B" w:rsidP="00CE4F3B">
      <w:pPr>
        <w:pStyle w:val="BodyText"/>
        <w:numPr>
          <w:ilvl w:val="0"/>
          <w:numId w:val="1"/>
        </w:numPr>
        <w:jc w:val="both"/>
        <w:rPr>
          <w:rFonts w:asciiTheme="minorBidi" w:hAnsiTheme="minorBidi" w:cstheme="minorBidi"/>
          <w:sz w:val="24"/>
          <w:szCs w:val="24"/>
        </w:rPr>
      </w:pPr>
      <w:r>
        <w:rPr>
          <w:rFonts w:asciiTheme="minorBidi" w:hAnsiTheme="minorBidi" w:cstheme="minorBidi"/>
          <w:sz w:val="24"/>
          <w:szCs w:val="24"/>
        </w:rPr>
        <w:t>A</w:t>
      </w:r>
      <w:r w:rsidRPr="00AC6188">
        <w:rPr>
          <w:rFonts w:asciiTheme="minorBidi" w:hAnsiTheme="minorBidi" w:cstheme="minorBidi"/>
          <w:sz w:val="24"/>
          <w:szCs w:val="24"/>
        </w:rPr>
        <w:t>nalyser et rédiger le rapport de l’enquête</w:t>
      </w:r>
      <w:r>
        <w:rPr>
          <w:rFonts w:asciiTheme="minorBidi" w:hAnsiTheme="minorBidi" w:cstheme="minorBidi"/>
          <w:sz w:val="24"/>
          <w:szCs w:val="24"/>
        </w:rPr>
        <w:t>;</w:t>
      </w:r>
    </w:p>
    <w:p w14:paraId="3B75438D" w14:textId="77777777" w:rsidR="00CE4F3B" w:rsidRPr="00AC6188" w:rsidRDefault="00CE4F3B" w:rsidP="00CE4F3B">
      <w:pPr>
        <w:pStyle w:val="BodyText"/>
        <w:numPr>
          <w:ilvl w:val="0"/>
          <w:numId w:val="1"/>
        </w:numPr>
        <w:jc w:val="both"/>
        <w:rPr>
          <w:rFonts w:asciiTheme="minorBidi" w:hAnsiTheme="minorBidi" w:cstheme="minorBidi"/>
          <w:sz w:val="24"/>
          <w:szCs w:val="24"/>
        </w:rPr>
      </w:pPr>
      <w:r>
        <w:rPr>
          <w:rFonts w:asciiTheme="minorBidi" w:hAnsiTheme="minorBidi" w:cstheme="minorBidi"/>
          <w:sz w:val="24"/>
          <w:szCs w:val="24"/>
        </w:rPr>
        <w:t>Rédiger le rapport de l'étude.</w:t>
      </w:r>
    </w:p>
    <w:p w14:paraId="1CAD427B" w14:textId="77777777" w:rsidR="00CE4F3B" w:rsidRPr="00AC6188" w:rsidRDefault="00CE4F3B" w:rsidP="00CE4F3B">
      <w:pPr>
        <w:pStyle w:val="BodyText"/>
        <w:ind w:left="1904"/>
        <w:jc w:val="both"/>
        <w:rPr>
          <w:rFonts w:asciiTheme="minorBidi" w:hAnsiTheme="minorBidi" w:cstheme="minorBidi"/>
          <w:sz w:val="24"/>
          <w:szCs w:val="24"/>
        </w:rPr>
      </w:pPr>
    </w:p>
    <w:p w14:paraId="3DDC1C62" w14:textId="77777777" w:rsidR="00CE4F3B" w:rsidRPr="00AC6188" w:rsidRDefault="00CE4F3B" w:rsidP="00CE4F3B">
      <w:pPr>
        <w:pStyle w:val="Heading11"/>
        <w:numPr>
          <w:ilvl w:val="0"/>
          <w:numId w:val="4"/>
        </w:numPr>
        <w:tabs>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 xml:space="preserve">Livrables </w:t>
      </w:r>
    </w:p>
    <w:p w14:paraId="4039C22E" w14:textId="77777777" w:rsidR="00CE4F3B" w:rsidRPr="00AC6188" w:rsidRDefault="00CE4F3B" w:rsidP="00CE4F3B">
      <w:pPr>
        <w:pStyle w:val="BodyText"/>
        <w:ind w:left="360"/>
        <w:rPr>
          <w:rFonts w:asciiTheme="minorBidi" w:hAnsiTheme="minorBidi" w:cstheme="minorBidi"/>
          <w:sz w:val="24"/>
          <w:szCs w:val="24"/>
        </w:rPr>
      </w:pPr>
    </w:p>
    <w:p w14:paraId="02DB2BBE" w14:textId="77777777" w:rsidR="00CE4F3B" w:rsidRPr="00AC6188"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t>Note de présentation de l’enquête ;</w:t>
      </w:r>
    </w:p>
    <w:p w14:paraId="2D29C103" w14:textId="77777777" w:rsidR="00CE4F3B" w:rsidRPr="00AC6188"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t>Note méthodologique</w:t>
      </w:r>
      <w:r>
        <w:rPr>
          <w:rFonts w:asciiTheme="minorBidi" w:hAnsiTheme="minorBidi" w:cstheme="minorBidi"/>
          <w:sz w:val="24"/>
          <w:szCs w:val="24"/>
        </w:rPr>
        <w:t xml:space="preserve"> </w:t>
      </w:r>
      <w:r w:rsidRPr="00AC6188">
        <w:rPr>
          <w:rFonts w:asciiTheme="minorBidi" w:hAnsiTheme="minorBidi" w:cstheme="minorBidi"/>
          <w:sz w:val="24"/>
          <w:szCs w:val="24"/>
        </w:rPr>
        <w:t xml:space="preserve">et guide de collecte de </w:t>
      </w:r>
      <w:r>
        <w:rPr>
          <w:rFonts w:asciiTheme="minorBidi" w:hAnsiTheme="minorBidi" w:cstheme="minorBidi"/>
          <w:sz w:val="24"/>
          <w:szCs w:val="24"/>
        </w:rPr>
        <w:t xml:space="preserve">l'enquête </w:t>
      </w:r>
      <w:r w:rsidRPr="00AC6188">
        <w:rPr>
          <w:rFonts w:asciiTheme="minorBidi" w:hAnsiTheme="minorBidi" w:cstheme="minorBidi"/>
          <w:sz w:val="24"/>
          <w:szCs w:val="24"/>
        </w:rPr>
        <w:t>qualitative ;</w:t>
      </w:r>
    </w:p>
    <w:p w14:paraId="35DE5148" w14:textId="77777777" w:rsidR="00CE4F3B" w:rsidRPr="005E1111" w:rsidRDefault="00CE4F3B" w:rsidP="00CE4F3B">
      <w:pPr>
        <w:pStyle w:val="BodyText"/>
        <w:numPr>
          <w:ilvl w:val="0"/>
          <w:numId w:val="1"/>
        </w:numPr>
        <w:spacing w:before="100" w:beforeAutospacing="1" w:after="100" w:afterAutospacing="1"/>
        <w:jc w:val="both"/>
        <w:rPr>
          <w:sz w:val="24"/>
          <w:szCs w:val="24"/>
        </w:rPr>
      </w:pPr>
      <w:r>
        <w:rPr>
          <w:rFonts w:asciiTheme="minorBidi" w:hAnsiTheme="minorBidi" w:cstheme="minorBidi"/>
          <w:sz w:val="24"/>
          <w:szCs w:val="24"/>
        </w:rPr>
        <w:t>Guide et r</w:t>
      </w:r>
      <w:r w:rsidRPr="005E1111">
        <w:rPr>
          <w:rFonts w:asciiTheme="minorBidi" w:hAnsiTheme="minorBidi" w:cstheme="minorBidi"/>
          <w:sz w:val="24"/>
          <w:szCs w:val="24"/>
        </w:rPr>
        <w:t>apport de la formation des responsables de l’enquête qualitative ;</w:t>
      </w:r>
    </w:p>
    <w:p w14:paraId="2CE102AF" w14:textId="77777777" w:rsidR="00CE4F3B" w:rsidRDefault="00CE4F3B" w:rsidP="00CE4F3B">
      <w:pPr>
        <w:pStyle w:val="BodyText"/>
        <w:numPr>
          <w:ilvl w:val="0"/>
          <w:numId w:val="1"/>
        </w:numPr>
        <w:spacing w:before="100" w:beforeAutospacing="1" w:after="100" w:afterAutospacing="1"/>
        <w:jc w:val="both"/>
        <w:rPr>
          <w:sz w:val="24"/>
          <w:szCs w:val="24"/>
        </w:rPr>
      </w:pPr>
      <w:r w:rsidRPr="005E1111">
        <w:rPr>
          <w:sz w:val="24"/>
          <w:szCs w:val="24"/>
        </w:rPr>
        <w:t xml:space="preserve">Rapport de l’enquête qualitative; </w:t>
      </w:r>
    </w:p>
    <w:p w14:paraId="4F30D102" w14:textId="77777777" w:rsidR="00CE4F3B" w:rsidRPr="005E1111" w:rsidRDefault="00CE4F3B" w:rsidP="00CE4F3B">
      <w:pPr>
        <w:pStyle w:val="BodyText"/>
        <w:numPr>
          <w:ilvl w:val="0"/>
          <w:numId w:val="1"/>
        </w:numPr>
        <w:spacing w:before="100" w:beforeAutospacing="1" w:after="100" w:afterAutospacing="1"/>
        <w:jc w:val="both"/>
        <w:rPr>
          <w:sz w:val="24"/>
          <w:szCs w:val="24"/>
        </w:rPr>
      </w:pPr>
      <w:r w:rsidRPr="005E1111">
        <w:rPr>
          <w:sz w:val="24"/>
          <w:szCs w:val="24"/>
        </w:rPr>
        <w:t>Rapport final de l’étude.</w:t>
      </w:r>
    </w:p>
    <w:p w14:paraId="1ECF26F9" w14:textId="77777777" w:rsidR="00CE4F3B" w:rsidRPr="00AC6188" w:rsidRDefault="00CE4F3B" w:rsidP="00CE4F3B">
      <w:pPr>
        <w:pStyle w:val="BodyText"/>
        <w:jc w:val="both"/>
        <w:rPr>
          <w:rFonts w:asciiTheme="minorBidi" w:hAnsiTheme="minorBidi" w:cstheme="minorBidi"/>
          <w:sz w:val="24"/>
          <w:szCs w:val="24"/>
        </w:rPr>
      </w:pPr>
    </w:p>
    <w:p w14:paraId="0C16F1DB" w14:textId="77777777" w:rsidR="00CE4F3B" w:rsidRPr="00AC6188" w:rsidRDefault="00CE4F3B" w:rsidP="00CE4F3B">
      <w:pPr>
        <w:pStyle w:val="Heading11"/>
        <w:numPr>
          <w:ilvl w:val="0"/>
          <w:numId w:val="4"/>
        </w:numPr>
        <w:tabs>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 xml:space="preserve">Calendrier d’exécution </w:t>
      </w:r>
    </w:p>
    <w:p w14:paraId="67491867" w14:textId="77777777" w:rsidR="00CE4F3B" w:rsidRPr="00AC6188" w:rsidRDefault="00CE4F3B" w:rsidP="00CE4F3B">
      <w:pPr>
        <w:pStyle w:val="BodyText"/>
        <w:ind w:left="360"/>
        <w:rPr>
          <w:rFonts w:asciiTheme="minorBidi" w:hAnsiTheme="minorBidi" w:cstheme="minorBidi"/>
          <w:sz w:val="24"/>
          <w:szCs w:val="24"/>
        </w:rPr>
      </w:pPr>
    </w:p>
    <w:p w14:paraId="7A3A09F2" w14:textId="77777777" w:rsidR="00CE4F3B"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t>Les travaux sont à réaliser en 20 jours ouvrables.</w:t>
      </w:r>
    </w:p>
    <w:p w14:paraId="1F9C83A6" w14:textId="77777777" w:rsidR="00CE4F3B" w:rsidRDefault="00CE4F3B" w:rsidP="00CE4F3B">
      <w:pPr>
        <w:pStyle w:val="BodyText"/>
        <w:jc w:val="both"/>
        <w:rPr>
          <w:rFonts w:asciiTheme="minorBidi" w:hAnsiTheme="minorBidi" w:cstheme="minorBidi"/>
          <w:sz w:val="24"/>
          <w:szCs w:val="24"/>
        </w:rPr>
      </w:pPr>
    </w:p>
    <w:p w14:paraId="52733F29" w14:textId="77777777" w:rsidR="00CE4F3B" w:rsidRPr="00AC6188" w:rsidRDefault="00CE4F3B" w:rsidP="00CE4F3B">
      <w:pPr>
        <w:pStyle w:val="BodyText"/>
        <w:jc w:val="both"/>
        <w:rPr>
          <w:rFonts w:asciiTheme="minorBidi" w:hAnsiTheme="minorBidi" w:cstheme="minorBidi"/>
          <w:sz w:val="24"/>
          <w:szCs w:val="24"/>
        </w:rPr>
      </w:pPr>
    </w:p>
    <w:p w14:paraId="2A4AE927" w14:textId="77777777" w:rsidR="00CE4F3B" w:rsidRPr="00AC6188" w:rsidRDefault="00CE4F3B" w:rsidP="00CE4F3B">
      <w:pPr>
        <w:pStyle w:val="Heading11"/>
        <w:numPr>
          <w:ilvl w:val="0"/>
          <w:numId w:val="4"/>
        </w:numPr>
        <w:tabs>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Profil du consultant</w:t>
      </w:r>
    </w:p>
    <w:p w14:paraId="16DF4E2B" w14:textId="77777777" w:rsidR="00CE4F3B" w:rsidRPr="00AC6188" w:rsidRDefault="00CE4F3B" w:rsidP="00CE4F3B">
      <w:pPr>
        <w:pStyle w:val="Normal1"/>
        <w:ind w:left="475"/>
        <w:jc w:val="both"/>
        <w:rPr>
          <w:rFonts w:asciiTheme="minorBidi" w:hAnsiTheme="minorBidi" w:cstheme="minorBidi"/>
          <w:sz w:val="24"/>
          <w:szCs w:val="24"/>
        </w:rPr>
      </w:pPr>
    </w:p>
    <w:p w14:paraId="0FC688AA" w14:textId="77777777" w:rsidR="00CE4F3B" w:rsidRPr="003D2102" w:rsidRDefault="00CE4F3B" w:rsidP="00CE4F3B">
      <w:pPr>
        <w:pStyle w:val="BodyText"/>
        <w:numPr>
          <w:ilvl w:val="0"/>
          <w:numId w:val="1"/>
        </w:numPr>
        <w:jc w:val="both"/>
        <w:rPr>
          <w:rFonts w:asciiTheme="minorBidi" w:hAnsiTheme="minorBidi" w:cstheme="minorBidi"/>
          <w:sz w:val="24"/>
          <w:szCs w:val="24"/>
        </w:rPr>
      </w:pPr>
      <w:r>
        <w:rPr>
          <w:rFonts w:asciiTheme="minorBidi" w:hAnsiTheme="minorBidi" w:cstheme="minorBidi"/>
          <w:sz w:val="24"/>
          <w:szCs w:val="24"/>
        </w:rPr>
        <w:t>Ê</w:t>
      </w:r>
      <w:r w:rsidRPr="00AC6188">
        <w:rPr>
          <w:rFonts w:asciiTheme="minorBidi" w:hAnsiTheme="minorBidi" w:cstheme="minorBidi"/>
          <w:sz w:val="24"/>
          <w:szCs w:val="24"/>
        </w:rPr>
        <w:t>tre</w:t>
      </w:r>
      <w:r>
        <w:rPr>
          <w:rFonts w:asciiTheme="minorBidi" w:hAnsiTheme="minorBidi" w:cstheme="minorBidi"/>
          <w:sz w:val="24"/>
          <w:szCs w:val="24"/>
        </w:rPr>
        <w:t xml:space="preserve"> </w:t>
      </w:r>
      <w:r w:rsidRPr="00AC6188">
        <w:rPr>
          <w:rFonts w:asciiTheme="minorBidi" w:hAnsiTheme="minorBidi" w:cstheme="minorBidi"/>
          <w:sz w:val="24"/>
          <w:szCs w:val="24"/>
        </w:rPr>
        <w:t xml:space="preserve">titulaire d’un diplôme </w:t>
      </w:r>
      <w:r w:rsidRPr="003D2102">
        <w:rPr>
          <w:rFonts w:asciiTheme="minorBidi" w:hAnsiTheme="minorBidi" w:cstheme="minorBidi"/>
          <w:sz w:val="24"/>
          <w:szCs w:val="24"/>
        </w:rPr>
        <w:t>universitaire supérieur en sociologie</w:t>
      </w:r>
      <w:r>
        <w:rPr>
          <w:rFonts w:asciiTheme="minorBidi" w:hAnsiTheme="minorBidi" w:cstheme="minorBidi"/>
          <w:sz w:val="24"/>
          <w:szCs w:val="24"/>
        </w:rPr>
        <w:t>, anthropologie ou démographie;</w:t>
      </w:r>
    </w:p>
    <w:p w14:paraId="4E758858" w14:textId="77777777" w:rsidR="00CE4F3B" w:rsidRPr="000F6C3B" w:rsidRDefault="00CE4F3B" w:rsidP="00CE4F3B">
      <w:pPr>
        <w:pStyle w:val="BodyText"/>
        <w:numPr>
          <w:ilvl w:val="0"/>
          <w:numId w:val="1"/>
        </w:numPr>
        <w:jc w:val="both"/>
        <w:rPr>
          <w:rFonts w:asciiTheme="minorBidi" w:hAnsiTheme="minorBidi" w:cstheme="minorBidi"/>
          <w:sz w:val="24"/>
          <w:szCs w:val="24"/>
        </w:rPr>
      </w:pPr>
      <w:r w:rsidRPr="003D2102">
        <w:rPr>
          <w:rFonts w:asciiTheme="minorBidi" w:hAnsiTheme="minorBidi" w:cstheme="minorBidi"/>
          <w:sz w:val="24"/>
          <w:szCs w:val="24"/>
        </w:rPr>
        <w:t>Avoir une bonne connaissance du système de l'état civil marocain ;</w:t>
      </w:r>
    </w:p>
    <w:p w14:paraId="0DFC86B7" w14:textId="77777777" w:rsidR="00CE4F3B" w:rsidRPr="000F6C3B" w:rsidRDefault="00CE4F3B" w:rsidP="00CE4F3B">
      <w:pPr>
        <w:pStyle w:val="BodyText"/>
        <w:numPr>
          <w:ilvl w:val="0"/>
          <w:numId w:val="1"/>
        </w:numPr>
        <w:jc w:val="both"/>
        <w:rPr>
          <w:rFonts w:asciiTheme="minorBidi" w:hAnsiTheme="minorBidi" w:cstheme="minorBidi"/>
          <w:sz w:val="24"/>
          <w:szCs w:val="24"/>
        </w:rPr>
      </w:pPr>
      <w:r w:rsidRPr="003D2102">
        <w:rPr>
          <w:rFonts w:asciiTheme="minorBidi" w:hAnsiTheme="minorBidi" w:cstheme="minorBidi"/>
          <w:sz w:val="24"/>
          <w:szCs w:val="24"/>
        </w:rPr>
        <w:t xml:space="preserve">Être doté d’une expérience </w:t>
      </w:r>
      <w:r w:rsidRPr="000F6C3B">
        <w:rPr>
          <w:rFonts w:asciiTheme="minorBidi" w:hAnsiTheme="minorBidi" w:cstheme="minorBidi"/>
          <w:sz w:val="24"/>
          <w:szCs w:val="24"/>
        </w:rPr>
        <w:t>d'au moins sept (7) années d'expérience professionnelle pertinente dans la conduite de groupes de discussion, de questionnaires et d'analyses, dans une approche de méthodes mixtes;</w:t>
      </w:r>
    </w:p>
    <w:p w14:paraId="2BC8DFCA" w14:textId="77777777" w:rsidR="00CE4F3B" w:rsidRPr="003D2102" w:rsidRDefault="00CE4F3B" w:rsidP="00CE4F3B">
      <w:pPr>
        <w:pStyle w:val="BodyText"/>
        <w:numPr>
          <w:ilvl w:val="0"/>
          <w:numId w:val="1"/>
        </w:numPr>
        <w:jc w:val="both"/>
        <w:rPr>
          <w:rFonts w:asciiTheme="minorBidi" w:hAnsiTheme="minorBidi" w:cstheme="minorBidi"/>
          <w:sz w:val="24"/>
          <w:szCs w:val="24"/>
        </w:rPr>
      </w:pPr>
      <w:r>
        <w:rPr>
          <w:rFonts w:asciiTheme="minorBidi" w:hAnsiTheme="minorBidi" w:cstheme="minorBidi"/>
          <w:sz w:val="24"/>
          <w:szCs w:val="24"/>
        </w:rPr>
        <w:t>L</w:t>
      </w:r>
      <w:r w:rsidRPr="003D2102">
        <w:rPr>
          <w:rFonts w:asciiTheme="minorBidi" w:hAnsiTheme="minorBidi" w:cstheme="minorBidi"/>
          <w:sz w:val="24"/>
          <w:szCs w:val="24"/>
        </w:rPr>
        <w:t>a maîtrise de l'arabe</w:t>
      </w:r>
      <w:r>
        <w:rPr>
          <w:rFonts w:asciiTheme="minorBidi" w:hAnsiTheme="minorBidi" w:cstheme="minorBidi"/>
          <w:sz w:val="24"/>
          <w:szCs w:val="24"/>
        </w:rPr>
        <w:t xml:space="preserve"> et </w:t>
      </w:r>
      <w:r w:rsidRPr="003D2102">
        <w:rPr>
          <w:rFonts w:asciiTheme="minorBidi" w:hAnsiTheme="minorBidi" w:cstheme="minorBidi"/>
          <w:sz w:val="24"/>
          <w:szCs w:val="24"/>
        </w:rPr>
        <w:t>du français</w:t>
      </w:r>
      <w:r>
        <w:rPr>
          <w:rFonts w:asciiTheme="minorBidi" w:hAnsiTheme="minorBidi" w:cstheme="minorBidi"/>
          <w:sz w:val="24"/>
          <w:szCs w:val="24"/>
        </w:rPr>
        <w:t>;</w:t>
      </w:r>
    </w:p>
    <w:p w14:paraId="543E22E5" w14:textId="77777777" w:rsidR="00CE4F3B" w:rsidRPr="00B96224" w:rsidRDefault="00CE4F3B" w:rsidP="00CE4F3B">
      <w:pPr>
        <w:pStyle w:val="BodyText"/>
        <w:numPr>
          <w:ilvl w:val="0"/>
          <w:numId w:val="1"/>
        </w:numPr>
        <w:jc w:val="both"/>
        <w:rPr>
          <w:rFonts w:asciiTheme="minorBidi" w:hAnsiTheme="minorBidi" w:cstheme="minorBidi"/>
          <w:sz w:val="24"/>
          <w:szCs w:val="24"/>
        </w:rPr>
      </w:pPr>
      <w:r>
        <w:rPr>
          <w:rFonts w:asciiTheme="minorBidi" w:hAnsiTheme="minorBidi" w:cstheme="minorBidi"/>
          <w:sz w:val="24"/>
          <w:szCs w:val="24"/>
        </w:rPr>
        <w:t xml:space="preserve">Justifier de bonnes </w:t>
      </w:r>
      <w:r w:rsidRPr="003D2102">
        <w:rPr>
          <w:rFonts w:asciiTheme="minorBidi" w:hAnsiTheme="minorBidi" w:cstheme="minorBidi"/>
          <w:sz w:val="24"/>
          <w:szCs w:val="24"/>
        </w:rPr>
        <w:t>capacités d’analyse</w:t>
      </w:r>
      <w:r>
        <w:rPr>
          <w:rFonts w:asciiTheme="minorBidi" w:hAnsiTheme="minorBidi" w:cstheme="minorBidi"/>
          <w:sz w:val="24"/>
          <w:szCs w:val="24"/>
        </w:rPr>
        <w:t xml:space="preserve"> et </w:t>
      </w:r>
      <w:r w:rsidRPr="003D2102">
        <w:rPr>
          <w:rFonts w:asciiTheme="minorBidi" w:hAnsiTheme="minorBidi" w:cstheme="minorBidi"/>
          <w:sz w:val="24"/>
          <w:szCs w:val="24"/>
        </w:rPr>
        <w:t>de rédaction (en français</w:t>
      </w:r>
      <w:r>
        <w:rPr>
          <w:rFonts w:asciiTheme="minorBidi" w:hAnsiTheme="minorBidi" w:cstheme="minorBidi"/>
          <w:sz w:val="24"/>
          <w:szCs w:val="24"/>
        </w:rPr>
        <w:t xml:space="preserve"> et </w:t>
      </w:r>
      <w:r w:rsidRPr="003D2102">
        <w:rPr>
          <w:rFonts w:asciiTheme="minorBidi" w:hAnsiTheme="minorBidi" w:cstheme="minorBidi"/>
          <w:sz w:val="24"/>
          <w:szCs w:val="24"/>
        </w:rPr>
        <w:t>en arabe)</w:t>
      </w:r>
      <w:r>
        <w:rPr>
          <w:rFonts w:asciiTheme="minorBidi" w:hAnsiTheme="minorBidi" w:cstheme="minorBidi"/>
          <w:sz w:val="24"/>
          <w:szCs w:val="24"/>
        </w:rPr>
        <w:t>.</w:t>
      </w:r>
    </w:p>
    <w:p w14:paraId="6ECD9536" w14:textId="77777777" w:rsidR="00CE4F3B" w:rsidRPr="00AC6188" w:rsidRDefault="00CE4F3B" w:rsidP="00CE4F3B">
      <w:pPr>
        <w:pStyle w:val="BodyText"/>
        <w:jc w:val="both"/>
        <w:rPr>
          <w:rFonts w:asciiTheme="minorBidi" w:hAnsiTheme="minorBidi" w:cstheme="minorBidi"/>
          <w:sz w:val="24"/>
          <w:szCs w:val="24"/>
        </w:rPr>
      </w:pPr>
    </w:p>
    <w:p w14:paraId="5FE239A4" w14:textId="77777777" w:rsidR="00CE4F3B" w:rsidRPr="00AC6188" w:rsidRDefault="00CE4F3B" w:rsidP="00CE4F3B">
      <w:pPr>
        <w:pStyle w:val="BodyText"/>
        <w:ind w:left="360"/>
        <w:rPr>
          <w:rFonts w:asciiTheme="minorBidi" w:hAnsiTheme="minorBidi" w:cstheme="minorBidi"/>
          <w:sz w:val="24"/>
          <w:szCs w:val="24"/>
        </w:rPr>
      </w:pPr>
    </w:p>
    <w:p w14:paraId="04CA40B1" w14:textId="77777777" w:rsidR="00CE4F3B" w:rsidRPr="00AC6188" w:rsidRDefault="00CE4F3B" w:rsidP="00CE4F3B">
      <w:pPr>
        <w:pStyle w:val="Heading11"/>
        <w:numPr>
          <w:ilvl w:val="0"/>
          <w:numId w:val="4"/>
        </w:numPr>
        <w:tabs>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Présentation de l’offre de candidature</w:t>
      </w:r>
    </w:p>
    <w:p w14:paraId="5E20804B" w14:textId="77777777" w:rsidR="00CE4F3B" w:rsidRPr="00AC6188" w:rsidRDefault="00CE4F3B" w:rsidP="00CE4F3B">
      <w:pPr>
        <w:pStyle w:val="BodyText"/>
        <w:ind w:left="360"/>
        <w:rPr>
          <w:rFonts w:asciiTheme="minorBidi" w:hAnsiTheme="minorBidi" w:cstheme="minorBidi"/>
          <w:sz w:val="24"/>
          <w:szCs w:val="24"/>
        </w:rPr>
      </w:pPr>
    </w:p>
    <w:p w14:paraId="1FE6ADB7" w14:textId="77777777" w:rsidR="00CE4F3B" w:rsidRPr="00AC6188" w:rsidRDefault="00CE4F3B" w:rsidP="00CE4F3B">
      <w:pPr>
        <w:pStyle w:val="Normal1"/>
        <w:spacing w:after="0"/>
        <w:jc w:val="both"/>
        <w:rPr>
          <w:rFonts w:asciiTheme="minorBidi" w:hAnsiTheme="minorBidi" w:cstheme="minorBidi"/>
          <w:sz w:val="24"/>
          <w:szCs w:val="24"/>
        </w:rPr>
      </w:pPr>
      <w:r w:rsidRPr="00AC6188">
        <w:rPr>
          <w:rFonts w:asciiTheme="minorBidi" w:hAnsiTheme="minorBidi" w:cstheme="minorBidi"/>
          <w:sz w:val="24"/>
          <w:szCs w:val="24"/>
        </w:rPr>
        <w:t>L’offre de candidature doit comprendre :</w:t>
      </w:r>
    </w:p>
    <w:p w14:paraId="6FA3119B" w14:textId="77777777" w:rsidR="00CE4F3B" w:rsidRPr="00AC6188"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t>Le curriculum vitae détaillé du consultant ;</w:t>
      </w:r>
    </w:p>
    <w:p w14:paraId="5DE75620" w14:textId="77777777" w:rsidR="00CE4F3B" w:rsidRPr="00AC6188"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lastRenderedPageBreak/>
        <w:t>L’offre technique accompagnée de l’approche méthodologique et du chronogramme des tâches;</w:t>
      </w:r>
    </w:p>
    <w:p w14:paraId="0EDFFC58" w14:textId="77777777" w:rsidR="00CE4F3B" w:rsidRPr="00AC6188"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t xml:space="preserve">L’offre financière ; </w:t>
      </w:r>
    </w:p>
    <w:p w14:paraId="41E072F7" w14:textId="77777777" w:rsidR="00CE4F3B" w:rsidRPr="00AC6188" w:rsidRDefault="00CE4F3B" w:rsidP="00CE4F3B">
      <w:pPr>
        <w:pStyle w:val="BodyText"/>
        <w:numPr>
          <w:ilvl w:val="0"/>
          <w:numId w:val="1"/>
        </w:numPr>
        <w:jc w:val="both"/>
        <w:rPr>
          <w:rFonts w:asciiTheme="minorBidi" w:hAnsiTheme="minorBidi" w:cstheme="minorBidi"/>
          <w:sz w:val="24"/>
          <w:szCs w:val="24"/>
        </w:rPr>
      </w:pPr>
      <w:r w:rsidRPr="00AC6188">
        <w:rPr>
          <w:rFonts w:asciiTheme="minorBidi" w:hAnsiTheme="minorBidi" w:cstheme="minorBidi"/>
          <w:sz w:val="24"/>
          <w:szCs w:val="24"/>
        </w:rPr>
        <w:t>Toute référence jugée utile pour éclairer le profil du consultant.</w:t>
      </w:r>
    </w:p>
    <w:p w14:paraId="5AA75402" w14:textId="77777777" w:rsidR="00CE4F3B" w:rsidRPr="00AC6188" w:rsidRDefault="00CE4F3B" w:rsidP="00CE4F3B">
      <w:pPr>
        <w:pStyle w:val="BodyText"/>
        <w:ind w:left="360"/>
        <w:rPr>
          <w:rFonts w:asciiTheme="minorBidi" w:hAnsiTheme="minorBidi" w:cstheme="minorBidi"/>
          <w:sz w:val="24"/>
          <w:szCs w:val="24"/>
        </w:rPr>
      </w:pPr>
    </w:p>
    <w:p w14:paraId="604EA83E" w14:textId="77777777" w:rsidR="00CE4F3B" w:rsidRPr="00AC6188" w:rsidRDefault="00CE4F3B" w:rsidP="00CE4F3B">
      <w:pPr>
        <w:pStyle w:val="Heading11"/>
        <w:numPr>
          <w:ilvl w:val="0"/>
          <w:numId w:val="4"/>
        </w:numPr>
        <w:tabs>
          <w:tab w:val="left" w:pos="1197"/>
        </w:tabs>
        <w:ind w:hanging="720"/>
        <w:rPr>
          <w:rFonts w:asciiTheme="minorBidi" w:hAnsiTheme="minorBidi" w:cstheme="minorBidi"/>
          <w:color w:val="0000FF"/>
          <w:sz w:val="28"/>
          <w:szCs w:val="28"/>
          <w:u w:val="none"/>
        </w:rPr>
      </w:pPr>
      <w:r w:rsidRPr="00AC6188">
        <w:rPr>
          <w:rFonts w:asciiTheme="minorBidi" w:hAnsiTheme="minorBidi" w:cstheme="minorBidi"/>
          <w:color w:val="0000FF"/>
          <w:sz w:val="28"/>
          <w:szCs w:val="28"/>
          <w:u w:val="none"/>
        </w:rPr>
        <w:t>Dépôt du dossier de candidature</w:t>
      </w:r>
    </w:p>
    <w:p w14:paraId="4499325B" w14:textId="77777777" w:rsidR="00CE4F3B" w:rsidRPr="00AC6188" w:rsidRDefault="00CE4F3B" w:rsidP="00CE4F3B">
      <w:pPr>
        <w:pStyle w:val="BodyText"/>
        <w:ind w:left="360"/>
        <w:rPr>
          <w:rFonts w:asciiTheme="minorBidi" w:hAnsiTheme="minorBidi" w:cstheme="minorBidi"/>
          <w:sz w:val="24"/>
          <w:szCs w:val="24"/>
        </w:rPr>
      </w:pPr>
    </w:p>
    <w:p w14:paraId="442DB31C" w14:textId="01899B56" w:rsidR="00CE4F3B" w:rsidRPr="00AC6188" w:rsidRDefault="00CE4F3B" w:rsidP="003603AB">
      <w:pPr>
        <w:pStyle w:val="Normal1"/>
        <w:jc w:val="both"/>
        <w:rPr>
          <w:rFonts w:asciiTheme="minorBidi" w:hAnsiTheme="minorBidi" w:cstheme="minorBidi"/>
          <w:sz w:val="24"/>
          <w:szCs w:val="24"/>
        </w:rPr>
      </w:pPr>
      <w:r w:rsidRPr="00AC6188">
        <w:rPr>
          <w:rFonts w:asciiTheme="minorBidi" w:hAnsiTheme="minorBidi" w:cstheme="minorBidi"/>
          <w:sz w:val="24"/>
          <w:szCs w:val="24"/>
        </w:rPr>
        <w:t>Les candidat(e)s intéressé(e)s par cet appel d’offres sont prié(e)s d</w:t>
      </w:r>
      <w:r w:rsidR="003603AB">
        <w:rPr>
          <w:rFonts w:asciiTheme="minorBidi" w:hAnsiTheme="minorBidi" w:cstheme="minorBidi"/>
          <w:sz w:val="24"/>
          <w:szCs w:val="24"/>
        </w:rPr>
        <w:t>’envoyer</w:t>
      </w:r>
      <w:r w:rsidRPr="00AC6188">
        <w:rPr>
          <w:rFonts w:asciiTheme="minorBidi" w:hAnsiTheme="minorBidi" w:cstheme="minorBidi"/>
          <w:sz w:val="24"/>
          <w:szCs w:val="24"/>
        </w:rPr>
        <w:t xml:space="preserve"> leurs d</w:t>
      </w:r>
      <w:r w:rsidR="003603AB">
        <w:rPr>
          <w:rFonts w:asciiTheme="minorBidi" w:hAnsiTheme="minorBidi" w:cstheme="minorBidi"/>
          <w:sz w:val="24"/>
          <w:szCs w:val="24"/>
        </w:rPr>
        <w:t xml:space="preserve">ossiers de candidature aux </w:t>
      </w:r>
      <w:r w:rsidRPr="00AC6188">
        <w:rPr>
          <w:rFonts w:asciiTheme="minorBidi" w:hAnsiTheme="minorBidi" w:cstheme="minorBidi"/>
          <w:sz w:val="24"/>
          <w:szCs w:val="24"/>
        </w:rPr>
        <w:t>adresse</w:t>
      </w:r>
      <w:r w:rsidR="003603AB">
        <w:rPr>
          <w:rFonts w:asciiTheme="minorBidi" w:hAnsiTheme="minorBidi" w:cstheme="minorBidi"/>
          <w:sz w:val="24"/>
          <w:szCs w:val="24"/>
        </w:rPr>
        <w:t>s</w:t>
      </w:r>
      <w:r w:rsidRPr="00AC6188">
        <w:rPr>
          <w:rFonts w:asciiTheme="minorBidi" w:hAnsiTheme="minorBidi" w:cstheme="minorBidi"/>
          <w:sz w:val="24"/>
          <w:szCs w:val="24"/>
        </w:rPr>
        <w:t xml:space="preserve"> suivante</w:t>
      </w:r>
      <w:r w:rsidR="003603AB">
        <w:rPr>
          <w:rFonts w:asciiTheme="minorBidi" w:hAnsiTheme="minorBidi" w:cstheme="minorBidi"/>
          <w:sz w:val="24"/>
          <w:szCs w:val="24"/>
        </w:rPr>
        <w:t>s</w:t>
      </w:r>
      <w:r w:rsidRPr="00AC6188">
        <w:rPr>
          <w:rFonts w:asciiTheme="minorBidi" w:hAnsiTheme="minorBidi" w:cstheme="minorBidi"/>
          <w:sz w:val="24"/>
          <w:szCs w:val="24"/>
        </w:rPr>
        <w:t xml:space="preserve"> : </w:t>
      </w:r>
    </w:p>
    <w:p w14:paraId="283D2226" w14:textId="6175FF1C" w:rsidR="00CE4F3B" w:rsidRPr="00EA4B9F" w:rsidRDefault="00BB038B" w:rsidP="00CE4F3B">
      <w:pPr>
        <w:pStyle w:val="Normal1"/>
        <w:jc w:val="center"/>
        <w:rPr>
          <w:rFonts w:asciiTheme="minorBidi" w:hAnsiTheme="minorBidi" w:cstheme="minorBidi"/>
          <w:sz w:val="24"/>
          <w:szCs w:val="24"/>
          <w:lang w:val="fr-MA"/>
        </w:rPr>
      </w:pPr>
      <w:hyperlink r:id="rId7" w:history="1">
        <w:r w:rsidR="00EA4B9F" w:rsidRPr="00EE68FA">
          <w:rPr>
            <w:rStyle w:val="Hyperlink"/>
            <w:rFonts w:eastAsia="Times New Roman"/>
            <w:lang w:val="fr-MA"/>
          </w:rPr>
          <w:t>elbergui@unfpa.org</w:t>
        </w:r>
      </w:hyperlink>
      <w:r w:rsidR="00EA4B9F">
        <w:rPr>
          <w:rFonts w:eastAsia="Times New Roman"/>
          <w:lang w:val="fr-MA"/>
        </w:rPr>
        <w:t xml:space="preserve"> et </w:t>
      </w:r>
      <w:hyperlink r:id="rId8" w:history="1">
        <w:r w:rsidR="00EA4B9F" w:rsidRPr="00EA4B9F">
          <w:rPr>
            <w:rStyle w:val="Hyperlink"/>
            <w:lang w:val="fr-MA"/>
          </w:rPr>
          <w:t>elakel@unfpa.org</w:t>
        </w:r>
      </w:hyperlink>
    </w:p>
    <w:p w14:paraId="4C53D1A3" w14:textId="37CD9F48" w:rsidR="00CE4F3B" w:rsidRPr="00AC6188" w:rsidRDefault="00CE4F3B" w:rsidP="00CC6C8B">
      <w:pPr>
        <w:pStyle w:val="Normal1"/>
        <w:jc w:val="both"/>
        <w:rPr>
          <w:rFonts w:asciiTheme="minorBidi" w:hAnsiTheme="minorBidi" w:cstheme="minorBidi"/>
          <w:sz w:val="24"/>
          <w:szCs w:val="24"/>
        </w:rPr>
      </w:pPr>
      <w:r w:rsidRPr="00AC6188">
        <w:rPr>
          <w:rFonts w:asciiTheme="minorBidi" w:hAnsiTheme="minorBidi" w:cstheme="minorBidi"/>
          <w:sz w:val="24"/>
          <w:szCs w:val="24"/>
        </w:rPr>
        <w:t>Le délai de soumission des can</w:t>
      </w:r>
      <w:r w:rsidR="008D0281">
        <w:rPr>
          <w:rFonts w:asciiTheme="minorBidi" w:hAnsiTheme="minorBidi" w:cstheme="minorBidi"/>
          <w:sz w:val="24"/>
          <w:szCs w:val="24"/>
        </w:rPr>
        <w:t xml:space="preserve">didatures est fixé au </w:t>
      </w:r>
      <w:r w:rsidR="00CC6C8B">
        <w:rPr>
          <w:rFonts w:asciiTheme="minorBidi" w:hAnsiTheme="minorBidi" w:cstheme="minorBidi"/>
          <w:sz w:val="24"/>
          <w:szCs w:val="24"/>
        </w:rPr>
        <w:t>25</w:t>
      </w:r>
      <w:bookmarkStart w:id="0" w:name="_GoBack"/>
      <w:bookmarkEnd w:id="0"/>
      <w:r w:rsidR="008D0281">
        <w:rPr>
          <w:rFonts w:asciiTheme="minorBidi" w:hAnsiTheme="minorBidi" w:cstheme="minorBidi"/>
          <w:sz w:val="24"/>
          <w:szCs w:val="24"/>
        </w:rPr>
        <w:t xml:space="preserve"> </w:t>
      </w:r>
      <w:r w:rsidR="001A1455">
        <w:rPr>
          <w:rFonts w:asciiTheme="minorBidi" w:hAnsiTheme="minorBidi" w:cstheme="minorBidi"/>
          <w:sz w:val="24"/>
          <w:szCs w:val="24"/>
        </w:rPr>
        <w:t>Octobre</w:t>
      </w:r>
      <w:r w:rsidR="008D0281">
        <w:rPr>
          <w:rFonts w:asciiTheme="minorBidi" w:hAnsiTheme="minorBidi" w:cstheme="minorBidi"/>
          <w:sz w:val="24"/>
          <w:szCs w:val="24"/>
        </w:rPr>
        <w:t xml:space="preserve"> 2020</w:t>
      </w:r>
      <w:r>
        <w:rPr>
          <w:rFonts w:asciiTheme="minorBidi" w:hAnsiTheme="minorBidi" w:cstheme="minorBidi"/>
          <w:sz w:val="24"/>
          <w:szCs w:val="24"/>
        </w:rPr>
        <w:t xml:space="preserve"> </w:t>
      </w:r>
      <w:r w:rsidRPr="00AC6188">
        <w:rPr>
          <w:rFonts w:asciiTheme="minorBidi" w:hAnsiTheme="minorBidi" w:cstheme="minorBidi"/>
          <w:sz w:val="24"/>
          <w:szCs w:val="24"/>
        </w:rPr>
        <w:t>à mi</w:t>
      </w:r>
      <w:r w:rsidR="001A1455">
        <w:rPr>
          <w:rFonts w:asciiTheme="minorBidi" w:hAnsiTheme="minorBidi" w:cstheme="minorBidi"/>
          <w:sz w:val="24"/>
          <w:szCs w:val="24"/>
        </w:rPr>
        <w:t>nuit</w:t>
      </w:r>
      <w:r w:rsidRPr="00AC6188">
        <w:rPr>
          <w:rFonts w:asciiTheme="minorBidi" w:hAnsiTheme="minorBidi" w:cstheme="minorBidi"/>
          <w:sz w:val="24"/>
          <w:szCs w:val="24"/>
        </w:rPr>
        <w:t>, au plus tard. Seules les candidatures répondant aux critères susmentionnés seront prises en considération.</w:t>
      </w:r>
    </w:p>
    <w:p w14:paraId="469E3F25" w14:textId="77777777" w:rsidR="00CE4F3B" w:rsidRPr="00AC6188" w:rsidRDefault="00CE4F3B" w:rsidP="00CE4F3B">
      <w:pPr>
        <w:pStyle w:val="BodyText"/>
        <w:ind w:left="360"/>
        <w:rPr>
          <w:rFonts w:asciiTheme="minorBidi" w:hAnsiTheme="minorBidi" w:cstheme="minorBidi"/>
          <w:sz w:val="24"/>
          <w:szCs w:val="24"/>
        </w:rPr>
      </w:pPr>
    </w:p>
    <w:p w14:paraId="56050101" w14:textId="77777777" w:rsidR="007914B1" w:rsidRDefault="007914B1"/>
    <w:sectPr w:rsidR="007914B1" w:rsidSect="00F7386D">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2CE5A" w14:textId="77777777" w:rsidR="00BB038B" w:rsidRDefault="00BB038B">
      <w:pPr>
        <w:spacing w:after="0" w:line="240" w:lineRule="auto"/>
      </w:pPr>
      <w:r>
        <w:separator/>
      </w:r>
    </w:p>
  </w:endnote>
  <w:endnote w:type="continuationSeparator" w:id="0">
    <w:p w14:paraId="73E25BD6" w14:textId="77777777" w:rsidR="00BB038B" w:rsidRDefault="00BB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3999"/>
      <w:docPartObj>
        <w:docPartGallery w:val="Page Numbers (Bottom of Page)"/>
        <w:docPartUnique/>
      </w:docPartObj>
    </w:sdtPr>
    <w:sdtEndPr/>
    <w:sdtContent>
      <w:p w14:paraId="3FE93B9E" w14:textId="6AE2F35D" w:rsidR="003C25B4" w:rsidRDefault="00CE4F3B">
        <w:pPr>
          <w:pStyle w:val="Footer"/>
          <w:jc w:val="center"/>
        </w:pPr>
        <w:r>
          <w:rPr>
            <w:noProof/>
          </w:rPr>
          <w:fldChar w:fldCharType="begin"/>
        </w:r>
        <w:r>
          <w:rPr>
            <w:noProof/>
          </w:rPr>
          <w:instrText xml:space="preserve"> PAGE   \* MERGEFORMAT </w:instrText>
        </w:r>
        <w:r>
          <w:rPr>
            <w:noProof/>
          </w:rPr>
          <w:fldChar w:fldCharType="separate"/>
        </w:r>
        <w:r w:rsidR="00F7386D">
          <w:rPr>
            <w:noProof/>
          </w:rPr>
          <w:t>4</w:t>
        </w:r>
        <w:r>
          <w:rPr>
            <w:noProof/>
          </w:rPr>
          <w:fldChar w:fldCharType="end"/>
        </w:r>
      </w:p>
    </w:sdtContent>
  </w:sdt>
  <w:p w14:paraId="71A0F9AE" w14:textId="77777777" w:rsidR="003C25B4" w:rsidRDefault="00BB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C19B" w14:textId="77777777" w:rsidR="00BB038B" w:rsidRDefault="00BB038B">
      <w:pPr>
        <w:spacing w:after="0" w:line="240" w:lineRule="auto"/>
      </w:pPr>
      <w:r>
        <w:separator/>
      </w:r>
    </w:p>
  </w:footnote>
  <w:footnote w:type="continuationSeparator" w:id="0">
    <w:p w14:paraId="0474853F" w14:textId="77777777" w:rsidR="00BB038B" w:rsidRDefault="00BB0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08B"/>
    <w:multiLevelType w:val="hybridMultilevel"/>
    <w:tmpl w:val="F2B25EA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1" w15:restartNumberingAfterBreak="0">
    <w:nsid w:val="1FA7735B"/>
    <w:multiLevelType w:val="hybridMultilevel"/>
    <w:tmpl w:val="8C540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F82769"/>
    <w:multiLevelType w:val="hybridMultilevel"/>
    <w:tmpl w:val="076C02E4"/>
    <w:lvl w:ilvl="0" w:tplc="330A72F0">
      <w:start w:val="1"/>
      <w:numFmt w:val="upperRoman"/>
      <w:lvlText w:val="%1-"/>
      <w:lvlJc w:val="left"/>
      <w:pPr>
        <w:ind w:left="1196" w:hanging="721"/>
      </w:pPr>
      <w:rPr>
        <w:rFonts w:ascii="Arial" w:eastAsia="Arial" w:hAnsi="Arial" w:cs="Arial" w:hint="default"/>
        <w:b/>
        <w:bCs/>
        <w:color w:val="1F497D"/>
        <w:spacing w:val="0"/>
        <w:w w:val="100"/>
        <w:sz w:val="22"/>
        <w:szCs w:val="22"/>
        <w:lang w:val="fr-FR" w:eastAsia="fr-FR" w:bidi="fr-FR"/>
      </w:rPr>
    </w:lvl>
    <w:lvl w:ilvl="1" w:tplc="E1D8D026">
      <w:start w:val="1"/>
      <w:numFmt w:val="decimal"/>
      <w:lvlText w:val="%2."/>
      <w:lvlJc w:val="left"/>
      <w:pPr>
        <w:ind w:left="1556" w:hanging="360"/>
      </w:pPr>
      <w:rPr>
        <w:rFonts w:ascii="Arial" w:eastAsia="Arial" w:hAnsi="Arial" w:cs="Arial" w:hint="default"/>
        <w:b/>
        <w:bCs/>
        <w:spacing w:val="-1"/>
        <w:w w:val="100"/>
        <w:sz w:val="22"/>
        <w:szCs w:val="22"/>
        <w:lang w:val="fr-FR" w:eastAsia="fr-FR" w:bidi="fr-FR"/>
      </w:rPr>
    </w:lvl>
    <w:lvl w:ilvl="2" w:tplc="F6D84398">
      <w:start w:val="1"/>
      <w:numFmt w:val="lowerLetter"/>
      <w:lvlText w:val="%3."/>
      <w:lvlJc w:val="left"/>
      <w:pPr>
        <w:ind w:left="1891" w:hanging="360"/>
      </w:pPr>
      <w:rPr>
        <w:rFonts w:ascii="Arial" w:eastAsia="Arial" w:hAnsi="Arial" w:cs="Arial" w:hint="default"/>
        <w:spacing w:val="-1"/>
        <w:w w:val="100"/>
        <w:sz w:val="22"/>
        <w:szCs w:val="22"/>
        <w:lang w:val="fr-FR" w:eastAsia="fr-FR" w:bidi="fr-FR"/>
      </w:rPr>
    </w:lvl>
    <w:lvl w:ilvl="3" w:tplc="93165E64">
      <w:numFmt w:val="bullet"/>
      <w:lvlText w:val="•"/>
      <w:lvlJc w:val="left"/>
      <w:pPr>
        <w:ind w:left="2825" w:hanging="360"/>
      </w:pPr>
      <w:rPr>
        <w:rFonts w:hint="default"/>
        <w:lang w:val="fr-FR" w:eastAsia="fr-FR" w:bidi="fr-FR"/>
      </w:rPr>
    </w:lvl>
    <w:lvl w:ilvl="4" w:tplc="97EE18D2">
      <w:numFmt w:val="bullet"/>
      <w:lvlText w:val="•"/>
      <w:lvlJc w:val="left"/>
      <w:pPr>
        <w:ind w:left="3751" w:hanging="360"/>
      </w:pPr>
      <w:rPr>
        <w:rFonts w:hint="default"/>
        <w:lang w:val="fr-FR" w:eastAsia="fr-FR" w:bidi="fr-FR"/>
      </w:rPr>
    </w:lvl>
    <w:lvl w:ilvl="5" w:tplc="A9849E40">
      <w:numFmt w:val="bullet"/>
      <w:lvlText w:val="•"/>
      <w:lvlJc w:val="left"/>
      <w:pPr>
        <w:ind w:left="4677" w:hanging="360"/>
      </w:pPr>
      <w:rPr>
        <w:rFonts w:hint="default"/>
        <w:lang w:val="fr-FR" w:eastAsia="fr-FR" w:bidi="fr-FR"/>
      </w:rPr>
    </w:lvl>
    <w:lvl w:ilvl="6" w:tplc="A8AE8976">
      <w:numFmt w:val="bullet"/>
      <w:lvlText w:val="•"/>
      <w:lvlJc w:val="left"/>
      <w:pPr>
        <w:ind w:left="5603" w:hanging="360"/>
      </w:pPr>
      <w:rPr>
        <w:rFonts w:hint="default"/>
        <w:lang w:val="fr-FR" w:eastAsia="fr-FR" w:bidi="fr-FR"/>
      </w:rPr>
    </w:lvl>
    <w:lvl w:ilvl="7" w:tplc="FE825F7C">
      <w:numFmt w:val="bullet"/>
      <w:lvlText w:val="•"/>
      <w:lvlJc w:val="left"/>
      <w:pPr>
        <w:ind w:left="6529" w:hanging="360"/>
      </w:pPr>
      <w:rPr>
        <w:rFonts w:hint="default"/>
        <w:lang w:val="fr-FR" w:eastAsia="fr-FR" w:bidi="fr-FR"/>
      </w:rPr>
    </w:lvl>
    <w:lvl w:ilvl="8" w:tplc="898EB092">
      <w:numFmt w:val="bullet"/>
      <w:lvlText w:val="•"/>
      <w:lvlJc w:val="left"/>
      <w:pPr>
        <w:ind w:left="7454" w:hanging="360"/>
      </w:pPr>
      <w:rPr>
        <w:rFonts w:hint="default"/>
        <w:lang w:val="fr-FR" w:eastAsia="fr-FR" w:bidi="fr-FR"/>
      </w:rPr>
    </w:lvl>
  </w:abstractNum>
  <w:abstractNum w:abstractNumId="3" w15:restartNumberingAfterBreak="0">
    <w:nsid w:val="42753BE1"/>
    <w:multiLevelType w:val="hybridMultilevel"/>
    <w:tmpl w:val="076C02E4"/>
    <w:lvl w:ilvl="0" w:tplc="330A72F0">
      <w:start w:val="1"/>
      <w:numFmt w:val="upperRoman"/>
      <w:lvlText w:val="%1-"/>
      <w:lvlJc w:val="left"/>
      <w:pPr>
        <w:ind w:left="1196" w:hanging="721"/>
      </w:pPr>
      <w:rPr>
        <w:rFonts w:ascii="Arial" w:eastAsia="Arial" w:hAnsi="Arial" w:cs="Arial" w:hint="default"/>
        <w:b/>
        <w:bCs/>
        <w:color w:val="1F497D"/>
        <w:spacing w:val="0"/>
        <w:w w:val="100"/>
        <w:sz w:val="22"/>
        <w:szCs w:val="22"/>
        <w:lang w:val="fr-FR" w:eastAsia="fr-FR" w:bidi="fr-FR"/>
      </w:rPr>
    </w:lvl>
    <w:lvl w:ilvl="1" w:tplc="E1D8D026">
      <w:start w:val="1"/>
      <w:numFmt w:val="decimal"/>
      <w:lvlText w:val="%2."/>
      <w:lvlJc w:val="left"/>
      <w:pPr>
        <w:ind w:left="1556" w:hanging="360"/>
      </w:pPr>
      <w:rPr>
        <w:rFonts w:ascii="Arial" w:eastAsia="Arial" w:hAnsi="Arial" w:cs="Arial" w:hint="default"/>
        <w:b/>
        <w:bCs/>
        <w:spacing w:val="-1"/>
        <w:w w:val="100"/>
        <w:sz w:val="22"/>
        <w:szCs w:val="22"/>
        <w:lang w:val="fr-FR" w:eastAsia="fr-FR" w:bidi="fr-FR"/>
      </w:rPr>
    </w:lvl>
    <w:lvl w:ilvl="2" w:tplc="F6D84398">
      <w:start w:val="1"/>
      <w:numFmt w:val="lowerLetter"/>
      <w:lvlText w:val="%3."/>
      <w:lvlJc w:val="left"/>
      <w:pPr>
        <w:ind w:left="1891" w:hanging="360"/>
      </w:pPr>
      <w:rPr>
        <w:rFonts w:ascii="Arial" w:eastAsia="Arial" w:hAnsi="Arial" w:cs="Arial" w:hint="default"/>
        <w:spacing w:val="-1"/>
        <w:w w:val="100"/>
        <w:sz w:val="22"/>
        <w:szCs w:val="22"/>
        <w:lang w:val="fr-FR" w:eastAsia="fr-FR" w:bidi="fr-FR"/>
      </w:rPr>
    </w:lvl>
    <w:lvl w:ilvl="3" w:tplc="93165E64">
      <w:numFmt w:val="bullet"/>
      <w:lvlText w:val="•"/>
      <w:lvlJc w:val="left"/>
      <w:pPr>
        <w:ind w:left="2825" w:hanging="360"/>
      </w:pPr>
      <w:rPr>
        <w:rFonts w:hint="default"/>
        <w:lang w:val="fr-FR" w:eastAsia="fr-FR" w:bidi="fr-FR"/>
      </w:rPr>
    </w:lvl>
    <w:lvl w:ilvl="4" w:tplc="97EE18D2">
      <w:numFmt w:val="bullet"/>
      <w:lvlText w:val="•"/>
      <w:lvlJc w:val="left"/>
      <w:pPr>
        <w:ind w:left="3751" w:hanging="360"/>
      </w:pPr>
      <w:rPr>
        <w:rFonts w:hint="default"/>
        <w:lang w:val="fr-FR" w:eastAsia="fr-FR" w:bidi="fr-FR"/>
      </w:rPr>
    </w:lvl>
    <w:lvl w:ilvl="5" w:tplc="A9849E40">
      <w:numFmt w:val="bullet"/>
      <w:lvlText w:val="•"/>
      <w:lvlJc w:val="left"/>
      <w:pPr>
        <w:ind w:left="4677" w:hanging="360"/>
      </w:pPr>
      <w:rPr>
        <w:rFonts w:hint="default"/>
        <w:lang w:val="fr-FR" w:eastAsia="fr-FR" w:bidi="fr-FR"/>
      </w:rPr>
    </w:lvl>
    <w:lvl w:ilvl="6" w:tplc="A8AE8976">
      <w:numFmt w:val="bullet"/>
      <w:lvlText w:val="•"/>
      <w:lvlJc w:val="left"/>
      <w:pPr>
        <w:ind w:left="5603" w:hanging="360"/>
      </w:pPr>
      <w:rPr>
        <w:rFonts w:hint="default"/>
        <w:lang w:val="fr-FR" w:eastAsia="fr-FR" w:bidi="fr-FR"/>
      </w:rPr>
    </w:lvl>
    <w:lvl w:ilvl="7" w:tplc="FE825F7C">
      <w:numFmt w:val="bullet"/>
      <w:lvlText w:val="•"/>
      <w:lvlJc w:val="left"/>
      <w:pPr>
        <w:ind w:left="6529" w:hanging="360"/>
      </w:pPr>
      <w:rPr>
        <w:rFonts w:hint="default"/>
        <w:lang w:val="fr-FR" w:eastAsia="fr-FR" w:bidi="fr-FR"/>
      </w:rPr>
    </w:lvl>
    <w:lvl w:ilvl="8" w:tplc="898EB092">
      <w:numFmt w:val="bullet"/>
      <w:lvlText w:val="•"/>
      <w:lvlJc w:val="left"/>
      <w:pPr>
        <w:ind w:left="7454" w:hanging="360"/>
      </w:pPr>
      <w:rPr>
        <w:rFonts w:hint="default"/>
        <w:lang w:val="fr-FR" w:eastAsia="fr-FR" w:bidi="fr-FR"/>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3B"/>
    <w:rsid w:val="001A1455"/>
    <w:rsid w:val="002C7E7C"/>
    <w:rsid w:val="003603AB"/>
    <w:rsid w:val="00574788"/>
    <w:rsid w:val="007914B1"/>
    <w:rsid w:val="00847596"/>
    <w:rsid w:val="008D0281"/>
    <w:rsid w:val="00BB038B"/>
    <w:rsid w:val="00CC6C8B"/>
    <w:rsid w:val="00CE4F3B"/>
    <w:rsid w:val="00E15DAA"/>
    <w:rsid w:val="00EA4B9F"/>
    <w:rsid w:val="00F7386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456F"/>
  <w15:chartTrackingRefBased/>
  <w15:docId w15:val="{3FD49196-39A9-4360-9CC7-A44AC908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3B"/>
    <w:rPr>
      <w:rFonts w:eastAsiaTheme="minorEastAsia"/>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4F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4F3B"/>
    <w:rPr>
      <w:rFonts w:eastAsiaTheme="minorEastAsia"/>
      <w:lang w:val="fr-FR"/>
    </w:rPr>
  </w:style>
  <w:style w:type="paragraph" w:styleId="BodyText">
    <w:name w:val="Body Text"/>
    <w:basedOn w:val="Normal"/>
    <w:link w:val="BodyTextChar"/>
    <w:uiPriority w:val="1"/>
    <w:qFormat/>
    <w:rsid w:val="00CE4F3B"/>
    <w:pPr>
      <w:widowControl w:val="0"/>
      <w:autoSpaceDE w:val="0"/>
      <w:autoSpaceDN w:val="0"/>
      <w:spacing w:after="0" w:line="240" w:lineRule="auto"/>
    </w:pPr>
    <w:rPr>
      <w:rFonts w:ascii="Arial" w:eastAsia="Arial" w:hAnsi="Arial" w:cs="Arial"/>
      <w:lang w:eastAsia="fr-FR" w:bidi="fr-FR"/>
    </w:rPr>
  </w:style>
  <w:style w:type="character" w:customStyle="1" w:styleId="BodyTextChar">
    <w:name w:val="Body Text Char"/>
    <w:basedOn w:val="DefaultParagraphFont"/>
    <w:link w:val="BodyText"/>
    <w:uiPriority w:val="1"/>
    <w:rsid w:val="00CE4F3B"/>
    <w:rPr>
      <w:rFonts w:ascii="Arial" w:eastAsia="Arial" w:hAnsi="Arial" w:cs="Arial"/>
      <w:lang w:val="fr-FR" w:eastAsia="fr-FR" w:bidi="fr-FR"/>
    </w:rPr>
  </w:style>
  <w:style w:type="paragraph" w:customStyle="1" w:styleId="Heading11">
    <w:name w:val="Heading 11"/>
    <w:basedOn w:val="Normal"/>
    <w:uiPriority w:val="1"/>
    <w:qFormat/>
    <w:rsid w:val="00CE4F3B"/>
    <w:pPr>
      <w:widowControl w:val="0"/>
      <w:autoSpaceDE w:val="0"/>
      <w:autoSpaceDN w:val="0"/>
      <w:spacing w:after="0" w:line="240" w:lineRule="auto"/>
      <w:ind w:left="1556" w:hanging="720"/>
      <w:outlineLvl w:val="1"/>
    </w:pPr>
    <w:rPr>
      <w:rFonts w:ascii="Arial" w:eastAsia="Arial" w:hAnsi="Arial" w:cs="Arial"/>
      <w:b/>
      <w:bCs/>
      <w:u w:val="single" w:color="000000"/>
      <w:lang w:eastAsia="fr-FR" w:bidi="fr-FR"/>
    </w:rPr>
  </w:style>
  <w:style w:type="paragraph" w:customStyle="1" w:styleId="Normal1">
    <w:name w:val="Normal1"/>
    <w:rsid w:val="00CE4F3B"/>
    <w:pPr>
      <w:pBdr>
        <w:top w:val="nil"/>
        <w:left w:val="nil"/>
        <w:bottom w:val="nil"/>
        <w:right w:val="nil"/>
        <w:between w:val="nil"/>
      </w:pBdr>
      <w:spacing w:after="200" w:line="240" w:lineRule="auto"/>
    </w:pPr>
    <w:rPr>
      <w:rFonts w:ascii="Calibri" w:eastAsia="Calibri" w:hAnsi="Calibri" w:cs="Calibri"/>
      <w:color w:val="000000"/>
      <w:lang w:val="fr-FR" w:eastAsia="fr-FR"/>
    </w:rPr>
  </w:style>
  <w:style w:type="character" w:styleId="Hyperlink">
    <w:name w:val="Hyperlink"/>
    <w:basedOn w:val="DefaultParagraphFont"/>
    <w:uiPriority w:val="99"/>
    <w:unhideWhenUsed/>
    <w:rsid w:val="00EA4B9F"/>
    <w:rPr>
      <w:color w:val="0563C1" w:themeColor="hyperlink"/>
      <w:u w:val="single"/>
    </w:rPr>
  </w:style>
  <w:style w:type="paragraph" w:styleId="BalloonText">
    <w:name w:val="Balloon Text"/>
    <w:basedOn w:val="Normal"/>
    <w:link w:val="BalloonTextChar"/>
    <w:uiPriority w:val="99"/>
    <w:semiHidden/>
    <w:unhideWhenUsed/>
    <w:rsid w:val="00F73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6D"/>
    <w:rPr>
      <w:rFonts w:ascii="Segoe UI" w:eastAsiaTheme="minorEastAsi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kel@unfpa.org" TargetMode="External"/><Relationship Id="rId3" Type="http://schemas.openxmlformats.org/officeDocument/2006/relationships/settings" Target="settings.xml"/><Relationship Id="rId7" Type="http://schemas.openxmlformats.org/officeDocument/2006/relationships/hyperlink" Target="mailto:elbergui@unf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O.Marseli</dc:creator>
  <cp:keywords/>
  <dc:description/>
  <cp:lastModifiedBy>Sanaa El Akel</cp:lastModifiedBy>
  <cp:revision>2</cp:revision>
  <cp:lastPrinted>2020-10-22T15:12:00Z</cp:lastPrinted>
  <dcterms:created xsi:type="dcterms:W3CDTF">2020-10-22T15:15:00Z</dcterms:created>
  <dcterms:modified xsi:type="dcterms:W3CDTF">2020-10-22T15:15:00Z</dcterms:modified>
</cp:coreProperties>
</file>