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ADE" w:rsidRPr="00BD6FEF" w:rsidRDefault="00BD6FEF" w:rsidP="00BD6FEF">
      <w:pPr>
        <w:spacing w:after="0"/>
        <w:jc w:val="center"/>
        <w:rPr>
          <w:rFonts w:asciiTheme="majorBidi" w:hAnsiTheme="majorBidi" w:cstheme="majorBidi"/>
          <w:b/>
          <w:bCs/>
          <w:sz w:val="24"/>
          <w:szCs w:val="24"/>
        </w:rPr>
      </w:pPr>
      <w:r w:rsidRPr="00BD6FEF">
        <w:rPr>
          <w:rFonts w:asciiTheme="majorBidi" w:hAnsiTheme="majorBidi" w:cstheme="majorBidi"/>
          <w:b/>
          <w:bCs/>
          <w:sz w:val="24"/>
          <w:szCs w:val="24"/>
        </w:rPr>
        <w:t>Termes de référence</w:t>
      </w:r>
    </w:p>
    <w:p w:rsidR="00BD6FEF" w:rsidRPr="00BD6FEF" w:rsidRDefault="0079405F" w:rsidP="00BD6FEF">
      <w:pPr>
        <w:spacing w:after="0"/>
        <w:jc w:val="center"/>
        <w:rPr>
          <w:rFonts w:asciiTheme="majorBidi" w:hAnsiTheme="majorBidi" w:cstheme="majorBidi"/>
          <w:b/>
          <w:bCs/>
          <w:sz w:val="24"/>
          <w:szCs w:val="24"/>
        </w:rPr>
      </w:pPr>
      <w:r>
        <w:rPr>
          <w:rFonts w:ascii="Arial" w:hAnsi="Arial" w:cs="Arial"/>
          <w:b/>
          <w:bCs/>
          <w:sz w:val="24"/>
          <w:szCs w:val="24"/>
        </w:rPr>
        <w:t>"</w:t>
      </w:r>
      <w:r w:rsidR="00BD6FEF" w:rsidRPr="00BD6FEF">
        <w:rPr>
          <w:rFonts w:asciiTheme="majorBidi" w:hAnsiTheme="majorBidi" w:cstheme="majorBidi"/>
          <w:b/>
          <w:bCs/>
          <w:sz w:val="24"/>
          <w:szCs w:val="24"/>
        </w:rPr>
        <w:t>Etude sur l’évaluation des coûts de deux résultats</w:t>
      </w:r>
    </w:p>
    <w:p w:rsidR="00BD6FEF" w:rsidRDefault="00BD6FEF" w:rsidP="00D95E43">
      <w:pPr>
        <w:spacing w:after="0"/>
        <w:jc w:val="center"/>
        <w:rPr>
          <w:rFonts w:asciiTheme="majorBidi" w:hAnsiTheme="majorBidi" w:cstheme="majorBidi"/>
          <w:b/>
          <w:bCs/>
          <w:sz w:val="24"/>
          <w:szCs w:val="24"/>
        </w:rPr>
      </w:pPr>
      <w:proofErr w:type="gramStart"/>
      <w:r w:rsidRPr="00BD6FEF">
        <w:rPr>
          <w:rFonts w:asciiTheme="majorBidi" w:hAnsiTheme="majorBidi" w:cstheme="majorBidi"/>
          <w:b/>
          <w:bCs/>
          <w:sz w:val="24"/>
          <w:szCs w:val="24"/>
        </w:rPr>
        <w:t>transformateurs</w:t>
      </w:r>
      <w:proofErr w:type="gramEnd"/>
      <w:r w:rsidRPr="00BD6FEF">
        <w:rPr>
          <w:rFonts w:asciiTheme="majorBidi" w:hAnsiTheme="majorBidi" w:cstheme="majorBidi"/>
          <w:b/>
          <w:bCs/>
          <w:sz w:val="24"/>
          <w:szCs w:val="24"/>
        </w:rPr>
        <w:t xml:space="preserve"> </w:t>
      </w:r>
      <w:r w:rsidR="00D95E43">
        <w:rPr>
          <w:rFonts w:asciiTheme="majorBidi" w:hAnsiTheme="majorBidi" w:cstheme="majorBidi"/>
          <w:b/>
          <w:bCs/>
          <w:sz w:val="24"/>
          <w:szCs w:val="24"/>
        </w:rPr>
        <w:t>à l’horizon 2030</w:t>
      </w:r>
      <w:r w:rsidR="0079405F">
        <w:rPr>
          <w:rFonts w:ascii="Arial" w:hAnsi="Arial" w:cs="Arial"/>
          <w:b/>
          <w:bCs/>
          <w:sz w:val="24"/>
          <w:szCs w:val="24"/>
        </w:rPr>
        <w:t>"</w:t>
      </w:r>
    </w:p>
    <w:p w:rsidR="0079405F" w:rsidRDefault="0079405F" w:rsidP="00BD6FEF">
      <w:pPr>
        <w:spacing w:after="0"/>
        <w:jc w:val="center"/>
        <w:rPr>
          <w:rFonts w:asciiTheme="majorBidi" w:hAnsiTheme="majorBidi" w:cstheme="majorBidi"/>
          <w:b/>
          <w:bCs/>
          <w:sz w:val="24"/>
          <w:szCs w:val="24"/>
        </w:rPr>
      </w:pPr>
    </w:p>
    <w:p w:rsidR="001F5CB2" w:rsidRDefault="001F5CB2" w:rsidP="00BD6FEF">
      <w:pPr>
        <w:spacing w:after="0"/>
        <w:jc w:val="center"/>
        <w:rPr>
          <w:rFonts w:asciiTheme="majorBidi" w:hAnsiTheme="majorBidi" w:cstheme="majorBidi"/>
          <w:b/>
          <w:bCs/>
          <w:sz w:val="24"/>
          <w:szCs w:val="24"/>
        </w:rPr>
      </w:pPr>
    </w:p>
    <w:p w:rsidR="001F5CB2" w:rsidRDefault="001F5CB2" w:rsidP="00BD6FEF">
      <w:pPr>
        <w:spacing w:after="0"/>
        <w:jc w:val="center"/>
        <w:rPr>
          <w:rFonts w:asciiTheme="majorBidi" w:hAnsiTheme="majorBidi" w:cstheme="majorBidi"/>
          <w:b/>
          <w:bCs/>
          <w:sz w:val="24"/>
          <w:szCs w:val="24"/>
        </w:rPr>
      </w:pPr>
    </w:p>
    <w:p w:rsidR="0079405F" w:rsidRDefault="0079405F" w:rsidP="0079405F">
      <w:pPr>
        <w:spacing w:after="0"/>
        <w:rPr>
          <w:rFonts w:asciiTheme="majorBidi" w:hAnsiTheme="majorBidi" w:cstheme="majorBidi"/>
          <w:b/>
          <w:bCs/>
          <w:sz w:val="24"/>
          <w:szCs w:val="24"/>
        </w:rPr>
      </w:pPr>
    </w:p>
    <w:p w:rsidR="0079405F" w:rsidRDefault="0079405F" w:rsidP="0079405F">
      <w:pPr>
        <w:pStyle w:val="ListParagraph"/>
        <w:numPr>
          <w:ilvl w:val="0"/>
          <w:numId w:val="1"/>
        </w:numPr>
        <w:spacing w:after="0"/>
        <w:rPr>
          <w:rFonts w:asciiTheme="majorBidi" w:hAnsiTheme="majorBidi" w:cstheme="majorBidi"/>
          <w:b/>
          <w:bCs/>
        </w:rPr>
      </w:pPr>
      <w:r w:rsidRPr="0079405F">
        <w:rPr>
          <w:rFonts w:asciiTheme="majorBidi" w:hAnsiTheme="majorBidi" w:cstheme="majorBidi"/>
          <w:b/>
          <w:bCs/>
        </w:rPr>
        <w:t>Contexte et justification :</w:t>
      </w:r>
    </w:p>
    <w:p w:rsidR="0079405F" w:rsidRDefault="0079405F" w:rsidP="0079405F">
      <w:pPr>
        <w:spacing w:after="0"/>
        <w:rPr>
          <w:rFonts w:asciiTheme="majorBidi" w:hAnsiTheme="majorBidi" w:cstheme="majorBidi"/>
          <w:b/>
          <w:bCs/>
        </w:rPr>
      </w:pPr>
    </w:p>
    <w:p w:rsidR="0079405F" w:rsidRDefault="0079405F" w:rsidP="00E27755">
      <w:pPr>
        <w:spacing w:after="0"/>
        <w:ind w:firstLine="708"/>
        <w:jc w:val="both"/>
        <w:rPr>
          <w:rFonts w:asciiTheme="majorBidi" w:hAnsiTheme="majorBidi" w:cstheme="majorBidi"/>
        </w:rPr>
      </w:pPr>
      <w:r w:rsidRPr="0079405F">
        <w:rPr>
          <w:rFonts w:asciiTheme="majorBidi" w:hAnsiTheme="majorBidi" w:cstheme="majorBidi"/>
        </w:rPr>
        <w:t xml:space="preserve">Afin de répondre aux défis mondiaux auxquels l’humanité </w:t>
      </w:r>
      <w:r>
        <w:rPr>
          <w:rFonts w:asciiTheme="majorBidi" w:hAnsiTheme="majorBidi" w:cstheme="majorBidi"/>
        </w:rPr>
        <w:t xml:space="preserve">se trouve confrontée et le sera encore pendant les prochaines </w:t>
      </w:r>
      <w:r w:rsidRPr="0079405F">
        <w:rPr>
          <w:rFonts w:asciiTheme="majorBidi" w:hAnsiTheme="majorBidi" w:cstheme="majorBidi"/>
        </w:rPr>
        <w:t>années</w:t>
      </w:r>
      <w:r>
        <w:rPr>
          <w:rFonts w:asciiTheme="majorBidi" w:hAnsiTheme="majorBidi" w:cstheme="majorBidi"/>
        </w:rPr>
        <w:t xml:space="preserve">, la communauté internationale s’est engagée à réaliser les </w:t>
      </w:r>
      <w:r w:rsidR="00E27755">
        <w:rPr>
          <w:rFonts w:asciiTheme="majorBidi" w:hAnsiTheme="majorBidi" w:cstheme="majorBidi"/>
        </w:rPr>
        <w:t xml:space="preserve">17 </w:t>
      </w:r>
      <w:r>
        <w:rPr>
          <w:rFonts w:asciiTheme="majorBidi" w:hAnsiTheme="majorBidi" w:cstheme="majorBidi"/>
        </w:rPr>
        <w:t xml:space="preserve">objectifs de développement durables à l’horizon 2030. Ces objectifs, </w:t>
      </w:r>
      <w:r w:rsidR="009D3A10">
        <w:rPr>
          <w:rFonts w:asciiTheme="majorBidi" w:hAnsiTheme="majorBidi" w:cstheme="majorBidi"/>
        </w:rPr>
        <w:t>couvrant l’intégralité des enjeux de développement</w:t>
      </w:r>
      <w:r>
        <w:rPr>
          <w:rFonts w:asciiTheme="majorBidi" w:hAnsiTheme="majorBidi" w:cstheme="majorBidi"/>
        </w:rPr>
        <w:t xml:space="preserve">, appellent pour leur atteinte à une mobilisation internationale </w:t>
      </w:r>
      <w:r w:rsidR="009D3A10">
        <w:rPr>
          <w:rFonts w:asciiTheme="majorBidi" w:hAnsiTheme="majorBidi" w:cstheme="majorBidi"/>
        </w:rPr>
        <w:t>et forment un cadre de référence et un plan d’action pour agir afin d’éradiquer la pauvreté, de protéger la planète et de garantir la prospérité pour tous.</w:t>
      </w:r>
    </w:p>
    <w:p w:rsidR="001F5CB2" w:rsidRDefault="001F5CB2" w:rsidP="00E27755">
      <w:pPr>
        <w:spacing w:after="0"/>
        <w:ind w:firstLine="708"/>
        <w:jc w:val="both"/>
        <w:rPr>
          <w:rFonts w:asciiTheme="majorBidi" w:hAnsiTheme="majorBidi" w:cstheme="majorBidi"/>
        </w:rPr>
      </w:pPr>
    </w:p>
    <w:p w:rsidR="00E27755" w:rsidRDefault="00E27755" w:rsidP="00E27755">
      <w:pPr>
        <w:spacing w:after="0"/>
        <w:ind w:firstLine="708"/>
        <w:jc w:val="both"/>
        <w:rPr>
          <w:rFonts w:asciiTheme="majorBidi" w:hAnsiTheme="majorBidi" w:cstheme="majorBidi"/>
        </w:rPr>
      </w:pPr>
      <w:r>
        <w:rPr>
          <w:rFonts w:asciiTheme="majorBidi" w:hAnsiTheme="majorBidi" w:cstheme="majorBidi"/>
        </w:rPr>
        <w:t xml:space="preserve">Guidée par le programme d’action de la Conférence Internationale sur la Population et le Développement (CIPD) et dans l’objectif d’appuyer l’agenda 2030, UNFPA a adopté un plan stratégique (2018-2021) qui s’articule autour de trois résultats transformateurs ; à savoir : </w:t>
      </w:r>
    </w:p>
    <w:p w:rsidR="001F5CB2" w:rsidRDefault="001F5CB2" w:rsidP="00E27755">
      <w:pPr>
        <w:spacing w:after="0"/>
        <w:ind w:firstLine="708"/>
        <w:jc w:val="both"/>
        <w:rPr>
          <w:rFonts w:asciiTheme="majorBidi" w:hAnsiTheme="majorBidi" w:cstheme="majorBidi"/>
        </w:rPr>
      </w:pPr>
    </w:p>
    <w:p w:rsidR="00E27755" w:rsidRPr="00C51663" w:rsidRDefault="00C51663" w:rsidP="00C51663">
      <w:pPr>
        <w:pStyle w:val="ListParagraph"/>
        <w:numPr>
          <w:ilvl w:val="0"/>
          <w:numId w:val="4"/>
        </w:numPr>
        <w:spacing w:after="0"/>
        <w:jc w:val="both"/>
        <w:rPr>
          <w:rFonts w:asciiTheme="majorBidi" w:hAnsiTheme="majorBidi" w:cstheme="majorBidi"/>
        </w:rPr>
      </w:pPr>
      <w:r w:rsidRPr="00C51663">
        <w:rPr>
          <w:rFonts w:asciiTheme="majorBidi" w:hAnsiTheme="majorBidi" w:cstheme="majorBidi"/>
        </w:rPr>
        <w:t>Zéro</w:t>
      </w:r>
      <w:r w:rsidR="00E27755" w:rsidRPr="00C51663">
        <w:rPr>
          <w:rFonts w:asciiTheme="majorBidi" w:hAnsiTheme="majorBidi" w:cstheme="majorBidi"/>
        </w:rPr>
        <w:t xml:space="preserve"> besoin non satisfait en matière de planification familiale ;</w:t>
      </w:r>
    </w:p>
    <w:p w:rsidR="00E27755" w:rsidRPr="00C51663" w:rsidRDefault="00C51663" w:rsidP="00C51663">
      <w:pPr>
        <w:pStyle w:val="ListParagraph"/>
        <w:numPr>
          <w:ilvl w:val="0"/>
          <w:numId w:val="4"/>
        </w:numPr>
        <w:spacing w:after="0"/>
        <w:jc w:val="both"/>
        <w:rPr>
          <w:rFonts w:asciiTheme="majorBidi" w:hAnsiTheme="majorBidi" w:cstheme="majorBidi"/>
        </w:rPr>
      </w:pPr>
      <w:r w:rsidRPr="00C51663">
        <w:rPr>
          <w:rFonts w:asciiTheme="majorBidi" w:hAnsiTheme="majorBidi" w:cstheme="majorBidi"/>
        </w:rPr>
        <w:t>Zéro</w:t>
      </w:r>
      <w:r w:rsidR="00E27755" w:rsidRPr="00C51663">
        <w:rPr>
          <w:rFonts w:asciiTheme="majorBidi" w:hAnsiTheme="majorBidi" w:cstheme="majorBidi"/>
        </w:rPr>
        <w:t xml:space="preserve"> décès maternel évitable ;</w:t>
      </w:r>
    </w:p>
    <w:p w:rsidR="00E27755" w:rsidRDefault="00C51663" w:rsidP="00C51663">
      <w:pPr>
        <w:pStyle w:val="ListParagraph"/>
        <w:numPr>
          <w:ilvl w:val="0"/>
          <w:numId w:val="4"/>
        </w:numPr>
        <w:spacing w:after="0"/>
        <w:jc w:val="both"/>
        <w:rPr>
          <w:rFonts w:asciiTheme="majorBidi" w:hAnsiTheme="majorBidi" w:cstheme="majorBidi"/>
        </w:rPr>
      </w:pPr>
      <w:r w:rsidRPr="00C51663">
        <w:rPr>
          <w:rFonts w:asciiTheme="majorBidi" w:hAnsiTheme="majorBidi" w:cstheme="majorBidi"/>
        </w:rPr>
        <w:t>Zéro</w:t>
      </w:r>
      <w:r>
        <w:rPr>
          <w:rFonts w:asciiTheme="majorBidi" w:hAnsiTheme="majorBidi" w:cstheme="majorBidi"/>
        </w:rPr>
        <w:t xml:space="preserve"> </w:t>
      </w:r>
      <w:r w:rsidRPr="00C51663">
        <w:rPr>
          <w:rFonts w:asciiTheme="majorBidi" w:hAnsiTheme="majorBidi" w:cstheme="majorBidi"/>
        </w:rPr>
        <w:t>violence basée sur le genre et les pratiques néfastes, y compris les</w:t>
      </w:r>
      <w:r>
        <w:rPr>
          <w:rFonts w:asciiTheme="majorBidi" w:hAnsiTheme="majorBidi" w:cstheme="majorBidi"/>
        </w:rPr>
        <w:t xml:space="preserve"> </w:t>
      </w:r>
      <w:r w:rsidRPr="00C51663">
        <w:rPr>
          <w:rFonts w:asciiTheme="majorBidi" w:hAnsiTheme="majorBidi" w:cstheme="majorBidi"/>
        </w:rPr>
        <w:t>mutilations génitales féminines et les mariages d’enfants, précoces</w:t>
      </w:r>
      <w:r>
        <w:rPr>
          <w:rFonts w:asciiTheme="majorBidi" w:hAnsiTheme="majorBidi" w:cstheme="majorBidi"/>
        </w:rPr>
        <w:t xml:space="preserve"> </w:t>
      </w:r>
      <w:r w:rsidRPr="00C51663">
        <w:rPr>
          <w:rFonts w:asciiTheme="majorBidi" w:hAnsiTheme="majorBidi" w:cstheme="majorBidi"/>
        </w:rPr>
        <w:t>et forcés.</w:t>
      </w:r>
    </w:p>
    <w:p w:rsidR="001F5CB2" w:rsidRDefault="001F5CB2" w:rsidP="001F5CB2">
      <w:pPr>
        <w:pStyle w:val="ListParagraph"/>
        <w:spacing w:after="0"/>
        <w:ind w:left="1068"/>
        <w:jc w:val="both"/>
        <w:rPr>
          <w:rFonts w:asciiTheme="majorBidi" w:hAnsiTheme="majorBidi" w:cstheme="majorBidi"/>
        </w:rPr>
      </w:pPr>
    </w:p>
    <w:p w:rsidR="00C51663" w:rsidRDefault="00C51663" w:rsidP="00C51663">
      <w:pPr>
        <w:spacing w:after="0"/>
        <w:ind w:firstLine="708"/>
        <w:jc w:val="both"/>
        <w:rPr>
          <w:rFonts w:asciiTheme="majorBidi" w:hAnsiTheme="majorBidi" w:cstheme="majorBidi"/>
        </w:rPr>
      </w:pPr>
      <w:r>
        <w:rPr>
          <w:rFonts w:asciiTheme="majorBidi" w:hAnsiTheme="majorBidi" w:cstheme="majorBidi"/>
        </w:rPr>
        <w:t>Ces trois résultats transformateurs que UNFPA envisage de réinscrire dans ses plans stratégiques ultérieurs (2022-2025 et 2026-2030) ont été sélectionné</w:t>
      </w:r>
      <w:r w:rsidR="0053772E">
        <w:rPr>
          <w:rFonts w:asciiTheme="majorBidi" w:hAnsiTheme="majorBidi" w:cstheme="majorBidi"/>
        </w:rPr>
        <w:t>s</w:t>
      </w:r>
      <w:r>
        <w:rPr>
          <w:rFonts w:asciiTheme="majorBidi" w:hAnsiTheme="majorBidi" w:cstheme="majorBidi"/>
        </w:rPr>
        <w:t xml:space="preserve"> </w:t>
      </w:r>
      <w:r w:rsidR="0053772E">
        <w:rPr>
          <w:rFonts w:asciiTheme="majorBidi" w:hAnsiTheme="majorBidi" w:cstheme="majorBidi"/>
        </w:rPr>
        <w:t>en tenant compte de son mandat et des avantages comparatifs qu’il est en mesure d’apporter pour faire progresser la réalisation des objectifs de développement durable.</w:t>
      </w:r>
    </w:p>
    <w:p w:rsidR="001F5CB2" w:rsidRDefault="001F5CB2" w:rsidP="00C51663">
      <w:pPr>
        <w:spacing w:after="0"/>
        <w:ind w:firstLine="708"/>
        <w:jc w:val="both"/>
        <w:rPr>
          <w:rFonts w:asciiTheme="majorBidi" w:hAnsiTheme="majorBidi" w:cstheme="majorBidi"/>
        </w:rPr>
      </w:pPr>
    </w:p>
    <w:p w:rsidR="0025210D" w:rsidRDefault="0025210D" w:rsidP="005A290C">
      <w:pPr>
        <w:spacing w:after="0"/>
        <w:ind w:firstLine="708"/>
        <w:jc w:val="both"/>
        <w:rPr>
          <w:rFonts w:asciiTheme="majorBidi" w:hAnsiTheme="majorBidi" w:cstheme="majorBidi"/>
        </w:rPr>
      </w:pPr>
      <w:r>
        <w:rPr>
          <w:rFonts w:asciiTheme="majorBidi" w:hAnsiTheme="majorBidi" w:cstheme="majorBidi"/>
        </w:rPr>
        <w:t xml:space="preserve">Outre la contribution certaine qu’apporterait l’atteinte de ces résultats à l’évolution vers plus d’égalité de genre et plus d’accès des femmes à </w:t>
      </w:r>
      <w:r w:rsidR="008967E6">
        <w:rPr>
          <w:rFonts w:asciiTheme="majorBidi" w:hAnsiTheme="majorBidi" w:cstheme="majorBidi"/>
        </w:rPr>
        <w:t>leurs droits</w:t>
      </w:r>
      <w:r>
        <w:rPr>
          <w:rFonts w:asciiTheme="majorBidi" w:hAnsiTheme="majorBidi" w:cstheme="majorBidi"/>
        </w:rPr>
        <w:t xml:space="preserve">, particulièrement ceux de santé sexuelle et reproductive, leur concrétisation présente des avantages économiques </w:t>
      </w:r>
      <w:r w:rsidR="008967E6">
        <w:rPr>
          <w:rFonts w:asciiTheme="majorBidi" w:hAnsiTheme="majorBidi" w:cstheme="majorBidi"/>
        </w:rPr>
        <w:t xml:space="preserve">quantifiables qui auront certainement des retombées bénéfiques non seulement sur les femmes elles-mêmes, mais aussi sur leurs enfants, leurs familles et la communauté dans son ensemble. En effet, garantir </w:t>
      </w:r>
      <w:r w:rsidR="005A290C">
        <w:rPr>
          <w:rFonts w:asciiTheme="majorBidi" w:hAnsiTheme="majorBidi" w:cstheme="majorBidi"/>
        </w:rPr>
        <w:t>qu’aucune future</w:t>
      </w:r>
      <w:r w:rsidR="008967E6">
        <w:rPr>
          <w:rFonts w:asciiTheme="majorBidi" w:hAnsiTheme="majorBidi" w:cstheme="majorBidi"/>
        </w:rPr>
        <w:t xml:space="preserve"> maman ne meure de complications maternelles évitables, que toutes les femmes puissent </w:t>
      </w:r>
      <w:r w:rsidR="005A290C">
        <w:rPr>
          <w:rFonts w:asciiTheme="majorBidi" w:hAnsiTheme="majorBidi" w:cstheme="majorBidi"/>
        </w:rPr>
        <w:t xml:space="preserve">librement </w:t>
      </w:r>
      <w:r w:rsidR="008967E6">
        <w:rPr>
          <w:rFonts w:asciiTheme="majorBidi" w:hAnsiTheme="majorBidi" w:cstheme="majorBidi"/>
        </w:rPr>
        <w:t xml:space="preserve">planifier et espacer </w:t>
      </w:r>
      <w:r w:rsidR="005A290C">
        <w:rPr>
          <w:rFonts w:asciiTheme="majorBidi" w:hAnsiTheme="majorBidi" w:cstheme="majorBidi"/>
        </w:rPr>
        <w:t>leurs grossesses et qu’aucune femme ne soit victime de violence sont des réalisations de nature à permettre des économies de coûts susceptibles d’être engendrés par la persistance d’un environnement entravant la satisfaction des besoins en planification familiale et favorisant la mortalité maternelle et la violence fondée sur le genre.</w:t>
      </w:r>
    </w:p>
    <w:p w:rsidR="001F5CB2" w:rsidRDefault="001F5CB2" w:rsidP="005A290C">
      <w:pPr>
        <w:spacing w:after="0"/>
        <w:ind w:firstLine="708"/>
        <w:jc w:val="both"/>
        <w:rPr>
          <w:rFonts w:asciiTheme="majorBidi" w:hAnsiTheme="majorBidi" w:cstheme="majorBidi"/>
        </w:rPr>
      </w:pPr>
    </w:p>
    <w:p w:rsidR="00FA60C9" w:rsidRDefault="005A290C" w:rsidP="00BC0188">
      <w:pPr>
        <w:spacing w:after="0"/>
        <w:ind w:firstLine="708"/>
        <w:jc w:val="both"/>
        <w:rPr>
          <w:rFonts w:asciiTheme="majorBidi" w:hAnsiTheme="majorBidi" w:cstheme="majorBidi"/>
        </w:rPr>
      </w:pPr>
      <w:r>
        <w:rPr>
          <w:rFonts w:asciiTheme="majorBidi" w:hAnsiTheme="majorBidi" w:cstheme="majorBidi"/>
        </w:rPr>
        <w:t xml:space="preserve">C’est justement </w:t>
      </w:r>
      <w:r w:rsidR="00D83A77">
        <w:rPr>
          <w:rFonts w:asciiTheme="majorBidi" w:hAnsiTheme="majorBidi" w:cstheme="majorBidi"/>
        </w:rPr>
        <w:t xml:space="preserve">sur </w:t>
      </w:r>
      <w:r>
        <w:rPr>
          <w:rFonts w:asciiTheme="majorBidi" w:hAnsiTheme="majorBidi" w:cstheme="majorBidi"/>
        </w:rPr>
        <w:t xml:space="preserve">l’évaluation de ces coûts que </w:t>
      </w:r>
      <w:r w:rsidR="00D83A77">
        <w:rPr>
          <w:rFonts w:asciiTheme="majorBidi" w:hAnsiTheme="majorBidi" w:cstheme="majorBidi"/>
        </w:rPr>
        <w:t xml:space="preserve">s’est penchée la récente étude réalisée </w:t>
      </w:r>
      <w:r w:rsidR="00BC0188">
        <w:rPr>
          <w:rFonts w:asciiTheme="majorBidi" w:hAnsiTheme="majorBidi" w:cstheme="majorBidi"/>
        </w:rPr>
        <w:t>par UNFPA</w:t>
      </w:r>
      <w:r w:rsidR="00BC0188">
        <w:rPr>
          <w:rStyle w:val="FootnoteReference"/>
          <w:rFonts w:asciiTheme="majorBidi" w:hAnsiTheme="majorBidi" w:cstheme="majorBidi"/>
        </w:rPr>
        <w:footnoteReference w:id="1"/>
      </w:r>
      <w:r w:rsidR="00D83A77">
        <w:rPr>
          <w:rFonts w:asciiTheme="majorBidi" w:hAnsiTheme="majorBidi" w:cstheme="majorBidi"/>
        </w:rPr>
        <w:t xml:space="preserve">. </w:t>
      </w:r>
      <w:r w:rsidR="007C5788">
        <w:rPr>
          <w:rFonts w:asciiTheme="majorBidi" w:hAnsiTheme="majorBidi" w:cstheme="majorBidi"/>
        </w:rPr>
        <w:t>Cette étude, qui s’est basée sur les données se rapportant à des catégories de pays différemment constituées selon la problématique abordée</w:t>
      </w:r>
      <w:r w:rsidR="00FA60C9">
        <w:rPr>
          <w:rFonts w:asciiTheme="majorBidi" w:hAnsiTheme="majorBidi" w:cstheme="majorBidi"/>
        </w:rPr>
        <w:t xml:space="preserve"> et l’ampleur avec laquelle le phénomène concerné sévit</w:t>
      </w:r>
      <w:r w:rsidR="00BC0188">
        <w:rPr>
          <w:rStyle w:val="FootnoteReference"/>
          <w:rFonts w:asciiTheme="majorBidi" w:hAnsiTheme="majorBidi" w:cstheme="majorBidi"/>
        </w:rPr>
        <w:footnoteReference w:id="2"/>
      </w:r>
      <w:r w:rsidR="007C5788">
        <w:rPr>
          <w:rFonts w:asciiTheme="majorBidi" w:hAnsiTheme="majorBidi" w:cstheme="majorBidi"/>
        </w:rPr>
        <w:t>,</w:t>
      </w:r>
      <w:r w:rsidR="00FA60C9">
        <w:rPr>
          <w:rFonts w:asciiTheme="majorBidi" w:hAnsiTheme="majorBidi" w:cstheme="majorBidi"/>
        </w:rPr>
        <w:t xml:space="preserve"> a débouché sur </w:t>
      </w:r>
      <w:r w:rsidR="00BE3C51">
        <w:rPr>
          <w:rFonts w:asciiTheme="majorBidi" w:hAnsiTheme="majorBidi" w:cstheme="majorBidi"/>
        </w:rPr>
        <w:t xml:space="preserve">de conséquents constats et </w:t>
      </w:r>
      <w:r w:rsidR="00FA60C9">
        <w:rPr>
          <w:rFonts w:asciiTheme="majorBidi" w:hAnsiTheme="majorBidi" w:cstheme="majorBidi"/>
        </w:rPr>
        <w:t>d’intéressants résultats qui peuvent se résumer dans les points suivants :</w:t>
      </w:r>
    </w:p>
    <w:p w:rsidR="0025210D" w:rsidRDefault="00BE3C51" w:rsidP="00BE3C51">
      <w:pPr>
        <w:pStyle w:val="ListParagraph"/>
        <w:numPr>
          <w:ilvl w:val="0"/>
          <w:numId w:val="4"/>
        </w:numPr>
        <w:autoSpaceDE w:val="0"/>
        <w:autoSpaceDN w:val="0"/>
        <w:adjustRightInd w:val="0"/>
        <w:spacing w:after="0" w:line="240" w:lineRule="auto"/>
        <w:rPr>
          <w:rFonts w:asciiTheme="majorBidi" w:hAnsiTheme="majorBidi" w:cstheme="majorBidi"/>
        </w:rPr>
      </w:pPr>
      <w:r>
        <w:rPr>
          <w:rFonts w:asciiTheme="majorBidi" w:hAnsiTheme="majorBidi" w:cstheme="majorBidi"/>
        </w:rPr>
        <w:t>Sachant que chaque jour 810 femmes meurent de causes évitables liées à la grossesse ou à l’accouchement, l</w:t>
      </w:r>
      <w:r w:rsidRPr="00BE3C51">
        <w:rPr>
          <w:rFonts w:asciiTheme="majorBidi" w:hAnsiTheme="majorBidi" w:cstheme="majorBidi"/>
        </w:rPr>
        <w:t>e coût de l’élimination des décès maternels évitables dans 120 pays prioritaires s’élève à 115,5 milliards de dollars pour la période 2020-2030</w:t>
      </w:r>
      <w:r>
        <w:rPr>
          <w:rFonts w:asciiTheme="majorBidi" w:hAnsiTheme="majorBidi" w:cstheme="majorBidi"/>
        </w:rPr>
        <w:t> ;</w:t>
      </w:r>
    </w:p>
    <w:p w:rsidR="001F5CB2" w:rsidRDefault="001F5CB2" w:rsidP="001F5CB2">
      <w:pPr>
        <w:pStyle w:val="ListParagraph"/>
        <w:autoSpaceDE w:val="0"/>
        <w:autoSpaceDN w:val="0"/>
        <w:adjustRightInd w:val="0"/>
        <w:spacing w:after="0" w:line="240" w:lineRule="auto"/>
        <w:ind w:left="1068"/>
        <w:rPr>
          <w:rFonts w:asciiTheme="majorBidi" w:hAnsiTheme="majorBidi" w:cstheme="majorBidi"/>
        </w:rPr>
      </w:pPr>
    </w:p>
    <w:p w:rsidR="00BE3C51" w:rsidRDefault="0043555D" w:rsidP="0043555D">
      <w:pPr>
        <w:pStyle w:val="ListParagraph"/>
        <w:numPr>
          <w:ilvl w:val="0"/>
          <w:numId w:val="4"/>
        </w:numPr>
        <w:autoSpaceDE w:val="0"/>
        <w:autoSpaceDN w:val="0"/>
        <w:adjustRightInd w:val="0"/>
        <w:spacing w:after="0" w:line="240" w:lineRule="auto"/>
        <w:rPr>
          <w:rFonts w:asciiTheme="majorBidi" w:hAnsiTheme="majorBidi" w:cstheme="majorBidi"/>
        </w:rPr>
      </w:pPr>
      <w:r w:rsidRPr="0043555D">
        <w:rPr>
          <w:rFonts w:asciiTheme="majorBidi" w:hAnsiTheme="majorBidi" w:cstheme="majorBidi"/>
        </w:rPr>
        <w:t>Sachant qu’il existe dans les pays en développement 232 millions qui souhaitent éviter leurs grossesses, mais n’utilisent pas de moyens de contraception modernes, le coût de l’élimination des besoins non satisfaits en matière</w:t>
      </w:r>
      <w:r>
        <w:rPr>
          <w:rFonts w:asciiTheme="majorBidi" w:hAnsiTheme="majorBidi" w:cstheme="majorBidi"/>
        </w:rPr>
        <w:t xml:space="preserve"> </w:t>
      </w:r>
      <w:r w:rsidRPr="0043555D">
        <w:rPr>
          <w:rFonts w:asciiTheme="majorBidi" w:hAnsiTheme="majorBidi" w:cstheme="majorBidi"/>
        </w:rPr>
        <w:t>de planification familiale moderne dans 120 pays prioritaires</w:t>
      </w:r>
      <w:r>
        <w:rPr>
          <w:rFonts w:asciiTheme="majorBidi" w:hAnsiTheme="majorBidi" w:cstheme="majorBidi"/>
        </w:rPr>
        <w:t xml:space="preserve"> </w:t>
      </w:r>
      <w:r w:rsidRPr="0043555D">
        <w:rPr>
          <w:rFonts w:asciiTheme="majorBidi" w:hAnsiTheme="majorBidi" w:cstheme="majorBidi"/>
        </w:rPr>
        <w:t>s’élève à 68,5 milliards de dollars pour la période 2020-2030.</w:t>
      </w:r>
    </w:p>
    <w:p w:rsidR="001F5CB2" w:rsidRDefault="001F5CB2" w:rsidP="001F5CB2">
      <w:pPr>
        <w:pStyle w:val="ListParagraph"/>
        <w:autoSpaceDE w:val="0"/>
        <w:autoSpaceDN w:val="0"/>
        <w:adjustRightInd w:val="0"/>
        <w:spacing w:after="0" w:line="240" w:lineRule="auto"/>
        <w:ind w:left="1068"/>
        <w:rPr>
          <w:rFonts w:asciiTheme="majorBidi" w:hAnsiTheme="majorBidi" w:cstheme="majorBidi"/>
        </w:rPr>
      </w:pPr>
    </w:p>
    <w:p w:rsidR="00BC0188" w:rsidRDefault="00BC0188" w:rsidP="00BC0188">
      <w:pPr>
        <w:pStyle w:val="ListParagraph"/>
        <w:numPr>
          <w:ilvl w:val="0"/>
          <w:numId w:val="4"/>
        </w:numPr>
        <w:autoSpaceDE w:val="0"/>
        <w:autoSpaceDN w:val="0"/>
        <w:adjustRightInd w:val="0"/>
        <w:spacing w:after="0" w:line="240" w:lineRule="auto"/>
        <w:jc w:val="both"/>
        <w:rPr>
          <w:rFonts w:asciiTheme="majorBidi" w:hAnsiTheme="majorBidi" w:cstheme="majorBidi"/>
        </w:rPr>
      </w:pPr>
      <w:r w:rsidRPr="00BC0188">
        <w:rPr>
          <w:rFonts w:asciiTheme="majorBidi" w:hAnsiTheme="majorBidi" w:cstheme="majorBidi"/>
        </w:rPr>
        <w:t>Sachant qu’au sein de la population mondiale actuelle plus de 200 millions de filles et de femmes ont subi des mutilations génitales féminines, le coût de l’élimination des mutilations génitales féminines</w:t>
      </w:r>
      <w:r>
        <w:rPr>
          <w:rFonts w:asciiTheme="majorBidi" w:hAnsiTheme="majorBidi" w:cstheme="majorBidi"/>
        </w:rPr>
        <w:t xml:space="preserve"> </w:t>
      </w:r>
      <w:r w:rsidRPr="00BC0188">
        <w:rPr>
          <w:rFonts w:asciiTheme="majorBidi" w:hAnsiTheme="majorBidi" w:cstheme="majorBidi"/>
        </w:rPr>
        <w:t>dans 31 pays prioritaires s’élève à 2,4 milliards de dollars pour</w:t>
      </w:r>
      <w:r>
        <w:rPr>
          <w:rFonts w:asciiTheme="majorBidi" w:hAnsiTheme="majorBidi" w:cstheme="majorBidi"/>
        </w:rPr>
        <w:t xml:space="preserve"> </w:t>
      </w:r>
      <w:r w:rsidRPr="00BC0188">
        <w:rPr>
          <w:rFonts w:asciiTheme="majorBidi" w:hAnsiTheme="majorBidi" w:cstheme="majorBidi"/>
        </w:rPr>
        <w:t>la période 2020-2030</w:t>
      </w:r>
      <w:r>
        <w:rPr>
          <w:rFonts w:asciiTheme="majorBidi" w:hAnsiTheme="majorBidi" w:cstheme="majorBidi"/>
        </w:rPr>
        <w:t>.</w:t>
      </w:r>
    </w:p>
    <w:p w:rsidR="001F5CB2" w:rsidRPr="001F5CB2" w:rsidRDefault="001F5CB2" w:rsidP="001F5CB2">
      <w:pPr>
        <w:pStyle w:val="ListParagraph"/>
        <w:rPr>
          <w:rFonts w:asciiTheme="majorBidi" w:hAnsiTheme="majorBidi" w:cstheme="majorBidi"/>
        </w:rPr>
      </w:pPr>
    </w:p>
    <w:p w:rsidR="00BC0188" w:rsidRDefault="00BC0188" w:rsidP="00BC0188">
      <w:pPr>
        <w:pStyle w:val="ListParagraph"/>
        <w:numPr>
          <w:ilvl w:val="0"/>
          <w:numId w:val="4"/>
        </w:numPr>
        <w:autoSpaceDE w:val="0"/>
        <w:autoSpaceDN w:val="0"/>
        <w:adjustRightInd w:val="0"/>
        <w:spacing w:after="0" w:line="240" w:lineRule="auto"/>
        <w:jc w:val="both"/>
        <w:rPr>
          <w:rFonts w:asciiTheme="majorBidi" w:hAnsiTheme="majorBidi" w:cstheme="majorBidi"/>
        </w:rPr>
      </w:pPr>
      <w:r w:rsidRPr="00BC0188">
        <w:rPr>
          <w:rFonts w:asciiTheme="majorBidi" w:hAnsiTheme="majorBidi" w:cstheme="majorBidi"/>
        </w:rPr>
        <w:t xml:space="preserve">Sachant que chaque année 12 millions de filles sont mariées avant 18 ans, </w:t>
      </w:r>
      <w:r w:rsidR="0057196D">
        <w:rPr>
          <w:rFonts w:asciiTheme="majorBidi" w:hAnsiTheme="majorBidi" w:cstheme="majorBidi"/>
        </w:rPr>
        <w:t>l</w:t>
      </w:r>
      <w:r w:rsidRPr="00BC0188">
        <w:rPr>
          <w:rFonts w:asciiTheme="majorBidi" w:hAnsiTheme="majorBidi" w:cstheme="majorBidi"/>
        </w:rPr>
        <w:t>e coût total de l’élimination du mariage des enfants dans les 68 pays ciblés par la modélisation est de 35 milliards de dollars pour la période 2020-2030.</w:t>
      </w:r>
    </w:p>
    <w:p w:rsidR="001F5CB2" w:rsidRPr="001F5CB2" w:rsidRDefault="001F5CB2" w:rsidP="001F5CB2">
      <w:pPr>
        <w:pStyle w:val="ListParagraph"/>
        <w:rPr>
          <w:rFonts w:asciiTheme="majorBidi" w:hAnsiTheme="majorBidi" w:cstheme="majorBidi"/>
        </w:rPr>
      </w:pPr>
    </w:p>
    <w:p w:rsidR="00BC0188" w:rsidRDefault="0057196D" w:rsidP="0057196D">
      <w:pPr>
        <w:pStyle w:val="ListParagraph"/>
        <w:numPr>
          <w:ilvl w:val="0"/>
          <w:numId w:val="4"/>
        </w:numPr>
        <w:autoSpaceDE w:val="0"/>
        <w:autoSpaceDN w:val="0"/>
        <w:adjustRightInd w:val="0"/>
        <w:spacing w:after="0" w:line="240" w:lineRule="auto"/>
        <w:jc w:val="both"/>
        <w:rPr>
          <w:rFonts w:asciiTheme="majorBidi" w:hAnsiTheme="majorBidi" w:cstheme="majorBidi"/>
        </w:rPr>
      </w:pPr>
      <w:r w:rsidRPr="0057196D">
        <w:rPr>
          <w:rFonts w:asciiTheme="majorBidi" w:hAnsiTheme="majorBidi" w:cstheme="majorBidi"/>
        </w:rPr>
        <w:t>Sachant qu’une femme sur trois dans le monde a subi une violence sexuelle ou physique de la part d’un intime ou d’un tiers, Le coût total de la mise en œuvre de programmes de prévention</w:t>
      </w:r>
      <w:r>
        <w:rPr>
          <w:rFonts w:asciiTheme="majorBidi" w:hAnsiTheme="majorBidi" w:cstheme="majorBidi"/>
        </w:rPr>
        <w:t xml:space="preserve"> </w:t>
      </w:r>
      <w:r w:rsidRPr="0057196D">
        <w:rPr>
          <w:rFonts w:asciiTheme="majorBidi" w:hAnsiTheme="majorBidi" w:cstheme="majorBidi"/>
        </w:rPr>
        <w:t>et de traitement visant à mettre fin à la violence basée sur le</w:t>
      </w:r>
      <w:r>
        <w:rPr>
          <w:rFonts w:asciiTheme="majorBidi" w:hAnsiTheme="majorBidi" w:cstheme="majorBidi"/>
        </w:rPr>
        <w:t xml:space="preserve"> </w:t>
      </w:r>
      <w:r w:rsidRPr="0057196D">
        <w:rPr>
          <w:rFonts w:asciiTheme="majorBidi" w:hAnsiTheme="majorBidi" w:cstheme="majorBidi"/>
        </w:rPr>
        <w:t>genre dans 132 pays d’ici 2030 s’élève à 42 milliards de dollars</w:t>
      </w:r>
      <w:r>
        <w:rPr>
          <w:rFonts w:asciiTheme="majorBidi" w:hAnsiTheme="majorBidi" w:cstheme="majorBidi"/>
        </w:rPr>
        <w:t>.</w:t>
      </w:r>
    </w:p>
    <w:p w:rsidR="001F5CB2" w:rsidRPr="001F5CB2" w:rsidRDefault="001F5CB2" w:rsidP="001F5CB2">
      <w:pPr>
        <w:pStyle w:val="ListParagraph"/>
        <w:rPr>
          <w:rFonts w:asciiTheme="majorBidi" w:hAnsiTheme="majorBidi" w:cstheme="majorBidi"/>
        </w:rPr>
      </w:pPr>
    </w:p>
    <w:p w:rsidR="0057196D" w:rsidRDefault="0057196D" w:rsidP="0057196D">
      <w:pPr>
        <w:autoSpaceDE w:val="0"/>
        <w:autoSpaceDN w:val="0"/>
        <w:adjustRightInd w:val="0"/>
        <w:spacing w:after="0" w:line="240" w:lineRule="auto"/>
        <w:ind w:left="360" w:firstLine="708"/>
        <w:jc w:val="both"/>
        <w:rPr>
          <w:rFonts w:asciiTheme="majorBidi" w:hAnsiTheme="majorBidi" w:cstheme="majorBidi"/>
        </w:rPr>
      </w:pPr>
      <w:r>
        <w:rPr>
          <w:rFonts w:asciiTheme="majorBidi" w:hAnsiTheme="majorBidi" w:cstheme="majorBidi"/>
        </w:rPr>
        <w:t>Ces évaluations de coûts, tout en donnant une idée sur la charge financière et le manque à gagner qu’engendre la persistance des phénomènes concernés</w:t>
      </w:r>
      <w:r w:rsidR="00A34B07">
        <w:rPr>
          <w:rFonts w:asciiTheme="majorBidi" w:hAnsiTheme="majorBidi" w:cstheme="majorBidi"/>
        </w:rPr>
        <w:t xml:space="preserve">, indiquent du même coup l’ampleur de l’effort à consentir pour mobiliser les ressources nécessaires pour y faire face.   </w:t>
      </w:r>
      <w:r w:rsidR="005F4DA5">
        <w:rPr>
          <w:rFonts w:asciiTheme="majorBidi" w:hAnsiTheme="majorBidi" w:cstheme="majorBidi"/>
        </w:rPr>
        <w:t>Ce qui est d’une grande utilité pour assurer une meilleure planification des actions à entreprendre et des ressources à mobiliser pour les faire aboutir dans l’objectif de converger progressivement vers l’élimination à terme de ces phénomènes.</w:t>
      </w:r>
    </w:p>
    <w:p w:rsidR="00E53EBA" w:rsidRDefault="00E53EBA" w:rsidP="0057196D">
      <w:pPr>
        <w:autoSpaceDE w:val="0"/>
        <w:autoSpaceDN w:val="0"/>
        <w:adjustRightInd w:val="0"/>
        <w:spacing w:after="0" w:line="240" w:lineRule="auto"/>
        <w:ind w:left="360" w:firstLine="708"/>
        <w:jc w:val="both"/>
        <w:rPr>
          <w:rFonts w:asciiTheme="majorBidi" w:hAnsiTheme="majorBidi" w:cstheme="majorBidi"/>
        </w:rPr>
      </w:pPr>
    </w:p>
    <w:p w:rsidR="00E53EBA" w:rsidRDefault="00E53EBA" w:rsidP="00E53EBA">
      <w:pPr>
        <w:pStyle w:val="ListParagraph"/>
        <w:numPr>
          <w:ilvl w:val="0"/>
          <w:numId w:val="1"/>
        </w:numPr>
        <w:spacing w:after="0"/>
        <w:rPr>
          <w:rFonts w:asciiTheme="majorBidi" w:hAnsiTheme="majorBidi" w:cstheme="majorBidi"/>
          <w:b/>
          <w:bCs/>
        </w:rPr>
      </w:pPr>
      <w:r w:rsidRPr="00E53EBA">
        <w:rPr>
          <w:rFonts w:asciiTheme="majorBidi" w:hAnsiTheme="majorBidi" w:cstheme="majorBidi"/>
          <w:b/>
          <w:bCs/>
        </w:rPr>
        <w:t>Objectifs de l’étude :</w:t>
      </w:r>
    </w:p>
    <w:p w:rsidR="00E53EBA" w:rsidRDefault="00E53EBA" w:rsidP="00E53EBA">
      <w:pPr>
        <w:pStyle w:val="ListParagraph"/>
        <w:spacing w:after="0"/>
        <w:rPr>
          <w:rFonts w:asciiTheme="majorBidi" w:hAnsiTheme="majorBidi" w:cstheme="majorBidi"/>
          <w:b/>
          <w:bCs/>
        </w:rPr>
      </w:pPr>
    </w:p>
    <w:p w:rsidR="00E14821" w:rsidRDefault="00E53EBA" w:rsidP="00E53EBA">
      <w:pPr>
        <w:autoSpaceDE w:val="0"/>
        <w:autoSpaceDN w:val="0"/>
        <w:adjustRightInd w:val="0"/>
        <w:spacing w:after="0" w:line="240" w:lineRule="auto"/>
        <w:ind w:left="360" w:firstLine="708"/>
        <w:jc w:val="both"/>
        <w:rPr>
          <w:rFonts w:asciiTheme="majorBidi" w:hAnsiTheme="majorBidi" w:cstheme="majorBidi"/>
        </w:rPr>
      </w:pPr>
      <w:r w:rsidRPr="00E53EBA">
        <w:rPr>
          <w:rFonts w:asciiTheme="majorBidi" w:hAnsiTheme="majorBidi" w:cstheme="majorBidi"/>
        </w:rPr>
        <w:t>Les sources d’information statistique les plus récentes indiquent que le Maroc est loin de réaliser les trois résultats transformateurs tels</w:t>
      </w:r>
      <w:r>
        <w:rPr>
          <w:rFonts w:asciiTheme="majorBidi" w:hAnsiTheme="majorBidi" w:cstheme="majorBidi"/>
        </w:rPr>
        <w:t xml:space="preserve"> qu’ils sont déclinés dans le plan stratégique de UNFPA (2018-2021). Ainsi, la mortalité maternelle bien qu’elle a </w:t>
      </w:r>
      <w:r w:rsidR="005D7442">
        <w:rPr>
          <w:rFonts w:asciiTheme="majorBidi" w:hAnsiTheme="majorBidi" w:cstheme="majorBidi"/>
        </w:rPr>
        <w:t>connu un important recul durant les dernières années, le niveau qu’elle atteint (72.6 décès pour 100 000 naissances vivantes) demeure toutefois relativement élevé en comparaison avec des pays arabes voisins ou à niveau de développement presque similaire, comme en Tunisie où le ratio de mortalité maternelle aurait atteint les 43 pour 100 000 ou en Jordanie où il est situé autour de 46 pour 100 000.</w:t>
      </w:r>
    </w:p>
    <w:p w:rsidR="001F5CB2" w:rsidRDefault="001F5CB2" w:rsidP="00E53EBA">
      <w:pPr>
        <w:autoSpaceDE w:val="0"/>
        <w:autoSpaceDN w:val="0"/>
        <w:adjustRightInd w:val="0"/>
        <w:spacing w:after="0" w:line="240" w:lineRule="auto"/>
        <w:ind w:left="360" w:firstLine="708"/>
        <w:jc w:val="both"/>
        <w:rPr>
          <w:rFonts w:asciiTheme="majorBidi" w:hAnsiTheme="majorBidi" w:cstheme="majorBidi"/>
        </w:rPr>
      </w:pPr>
    </w:p>
    <w:p w:rsidR="00E53EBA" w:rsidRDefault="00E15D4F" w:rsidP="00E53EBA">
      <w:pPr>
        <w:autoSpaceDE w:val="0"/>
        <w:autoSpaceDN w:val="0"/>
        <w:adjustRightInd w:val="0"/>
        <w:spacing w:after="0" w:line="240" w:lineRule="auto"/>
        <w:ind w:left="360" w:firstLine="708"/>
        <w:jc w:val="both"/>
        <w:rPr>
          <w:rFonts w:asciiTheme="majorBidi" w:hAnsiTheme="majorBidi" w:cstheme="majorBidi"/>
        </w:rPr>
      </w:pPr>
      <w:r>
        <w:rPr>
          <w:rFonts w:asciiTheme="majorBidi" w:hAnsiTheme="majorBidi" w:cstheme="majorBidi"/>
        </w:rPr>
        <w:t xml:space="preserve"> Le retard accusé par le Maroc à ce sujet est d’autant plus difficile à rattraper que la majeure partie des décès maternels surviennent en milieu rural où les risques de décès maternels sont plus que doublement plus aggravés qu’en milieu urbain. Les récentes estimations situent en effet le ratio de mortalité maternelle à 44,6 pour 100 000 naissances vivantes dans l’urbain et à 111,1 pour 100 000 naissances vivantes dans le rural.</w:t>
      </w:r>
    </w:p>
    <w:p w:rsidR="001F5CB2" w:rsidRDefault="001F5CB2" w:rsidP="00E53EBA">
      <w:pPr>
        <w:autoSpaceDE w:val="0"/>
        <w:autoSpaceDN w:val="0"/>
        <w:adjustRightInd w:val="0"/>
        <w:spacing w:after="0" w:line="240" w:lineRule="auto"/>
        <w:ind w:left="360" w:firstLine="708"/>
        <w:jc w:val="both"/>
        <w:rPr>
          <w:rFonts w:asciiTheme="majorBidi" w:hAnsiTheme="majorBidi" w:cstheme="majorBidi"/>
        </w:rPr>
      </w:pPr>
    </w:p>
    <w:p w:rsidR="00E14821" w:rsidRDefault="00E14821" w:rsidP="00996113">
      <w:pPr>
        <w:autoSpaceDE w:val="0"/>
        <w:autoSpaceDN w:val="0"/>
        <w:adjustRightInd w:val="0"/>
        <w:spacing w:after="0" w:line="240" w:lineRule="auto"/>
        <w:ind w:left="360" w:firstLine="708"/>
        <w:jc w:val="both"/>
        <w:rPr>
          <w:rFonts w:asciiTheme="majorBidi" w:hAnsiTheme="majorBidi" w:cstheme="majorBidi"/>
        </w:rPr>
      </w:pPr>
      <w:r>
        <w:rPr>
          <w:rFonts w:asciiTheme="majorBidi" w:hAnsiTheme="majorBidi" w:cstheme="majorBidi"/>
        </w:rPr>
        <w:t>Il est à noter, par ailleurs, que près des ¾ des décès maternels trouvent leur origine dans des causes jugées évitables. L</w:t>
      </w:r>
      <w:r w:rsidRPr="00E14821">
        <w:rPr>
          <w:rFonts w:asciiTheme="majorBidi" w:hAnsiTheme="majorBidi" w:cstheme="majorBidi"/>
        </w:rPr>
        <w:t>’</w:t>
      </w:r>
      <w:r>
        <w:rPr>
          <w:rFonts w:asciiTheme="majorBidi" w:hAnsiTheme="majorBidi" w:cstheme="majorBidi"/>
        </w:rPr>
        <w:t>e</w:t>
      </w:r>
      <w:r w:rsidRPr="00E14821">
        <w:rPr>
          <w:rFonts w:asciiTheme="majorBidi" w:hAnsiTheme="majorBidi" w:cstheme="majorBidi"/>
        </w:rPr>
        <w:t xml:space="preserve">nquête </w:t>
      </w:r>
      <w:r>
        <w:rPr>
          <w:rFonts w:asciiTheme="majorBidi" w:hAnsiTheme="majorBidi" w:cstheme="majorBidi"/>
        </w:rPr>
        <w:t>c</w:t>
      </w:r>
      <w:r w:rsidRPr="00E14821">
        <w:rPr>
          <w:rFonts w:asciiTheme="majorBidi" w:hAnsiTheme="majorBidi" w:cstheme="majorBidi"/>
        </w:rPr>
        <w:t xml:space="preserve">onfidentielle sur les décès maternels de 2010 </w:t>
      </w:r>
      <w:r>
        <w:rPr>
          <w:rFonts w:asciiTheme="majorBidi" w:hAnsiTheme="majorBidi" w:cstheme="majorBidi"/>
        </w:rPr>
        <w:t>a révélé, en effet, que pas moins de 73% sont dues à des causes de cette nature.</w:t>
      </w:r>
      <w:r w:rsidR="00982939">
        <w:rPr>
          <w:rFonts w:asciiTheme="majorBidi" w:hAnsiTheme="majorBidi" w:cstheme="majorBidi"/>
        </w:rPr>
        <w:t xml:space="preserve"> </w:t>
      </w:r>
      <w:r w:rsidR="00996113">
        <w:rPr>
          <w:rFonts w:asciiTheme="majorBidi" w:hAnsiTheme="majorBidi" w:cstheme="majorBidi"/>
        </w:rPr>
        <w:t>Ce qui donne, d’ores et déjà, une idée sur l’ampleur des coûts engendrés par ces décès et du coup sur la grandeur des économies susceptibles d’être réalisées en engageant les actions nécessaires pour les éviter.</w:t>
      </w:r>
    </w:p>
    <w:p w:rsidR="001F5CB2" w:rsidRDefault="001F5CB2" w:rsidP="00996113">
      <w:pPr>
        <w:autoSpaceDE w:val="0"/>
        <w:autoSpaceDN w:val="0"/>
        <w:adjustRightInd w:val="0"/>
        <w:spacing w:after="0" w:line="240" w:lineRule="auto"/>
        <w:ind w:left="360" w:firstLine="708"/>
        <w:jc w:val="both"/>
        <w:rPr>
          <w:rFonts w:asciiTheme="majorBidi" w:hAnsiTheme="majorBidi" w:cstheme="majorBidi"/>
        </w:rPr>
      </w:pPr>
    </w:p>
    <w:p w:rsidR="00F5409B" w:rsidRDefault="00996113" w:rsidP="00996113">
      <w:pPr>
        <w:autoSpaceDE w:val="0"/>
        <w:autoSpaceDN w:val="0"/>
        <w:adjustRightInd w:val="0"/>
        <w:spacing w:after="0" w:line="240" w:lineRule="auto"/>
        <w:ind w:left="360" w:firstLine="708"/>
        <w:jc w:val="both"/>
        <w:rPr>
          <w:rFonts w:asciiTheme="majorBidi" w:hAnsiTheme="majorBidi" w:cstheme="majorBidi"/>
        </w:rPr>
      </w:pPr>
      <w:r>
        <w:rPr>
          <w:rFonts w:asciiTheme="majorBidi" w:hAnsiTheme="majorBidi" w:cstheme="majorBidi"/>
        </w:rPr>
        <w:t xml:space="preserve">Selon l’enquête la plus récente sur la population et la santé familiale </w:t>
      </w:r>
      <w:r w:rsidR="00F5409B">
        <w:rPr>
          <w:rFonts w:asciiTheme="majorBidi" w:hAnsiTheme="majorBidi" w:cstheme="majorBidi"/>
        </w:rPr>
        <w:t>(ENPSF</w:t>
      </w:r>
      <w:r>
        <w:rPr>
          <w:rFonts w:asciiTheme="majorBidi" w:hAnsiTheme="majorBidi" w:cstheme="majorBidi"/>
        </w:rPr>
        <w:t xml:space="preserve">, 2018), le Maroc est aussi un pays où les besoins non satisfaits en matière de planification familiale demeurent encore </w:t>
      </w:r>
      <w:r w:rsidR="00F5409B">
        <w:rPr>
          <w:rFonts w:asciiTheme="majorBidi" w:hAnsiTheme="majorBidi" w:cstheme="majorBidi"/>
        </w:rPr>
        <w:t xml:space="preserve">relativement élevés malgré la forte extension de la prévalence contraceptive. En effet, bien que cette prévalence aurait atteint les 70.8% quand référence est faite à toutes les méthodes et 58% quand référence est faite aux seules méthodes modernes, le taux des besoins non satisfaits en planification familiale est de l’ordre de 11.3%. </w:t>
      </w:r>
    </w:p>
    <w:p w:rsidR="001F5CB2" w:rsidRDefault="001F5CB2" w:rsidP="00996113">
      <w:pPr>
        <w:autoSpaceDE w:val="0"/>
        <w:autoSpaceDN w:val="0"/>
        <w:adjustRightInd w:val="0"/>
        <w:spacing w:after="0" w:line="240" w:lineRule="auto"/>
        <w:ind w:left="360" w:firstLine="708"/>
        <w:jc w:val="both"/>
        <w:rPr>
          <w:rFonts w:asciiTheme="majorBidi" w:hAnsiTheme="majorBidi" w:cstheme="majorBidi"/>
        </w:rPr>
      </w:pPr>
    </w:p>
    <w:p w:rsidR="00305747" w:rsidRDefault="00F5409B" w:rsidP="007F18E3">
      <w:pPr>
        <w:autoSpaceDE w:val="0"/>
        <w:autoSpaceDN w:val="0"/>
        <w:adjustRightInd w:val="0"/>
        <w:spacing w:after="0" w:line="240" w:lineRule="auto"/>
        <w:ind w:left="360" w:firstLine="708"/>
        <w:jc w:val="both"/>
        <w:rPr>
          <w:rFonts w:asciiTheme="majorBidi" w:hAnsiTheme="majorBidi" w:cstheme="majorBidi"/>
        </w:rPr>
      </w:pPr>
      <w:r>
        <w:rPr>
          <w:rFonts w:asciiTheme="majorBidi" w:hAnsiTheme="majorBidi" w:cstheme="majorBidi"/>
        </w:rPr>
        <w:t xml:space="preserve">L’objet de cette consultation est d’évaluer les coûts engendrés d’une part, par </w:t>
      </w:r>
      <w:r w:rsidR="00426565">
        <w:rPr>
          <w:rFonts w:asciiTheme="majorBidi" w:hAnsiTheme="majorBidi" w:cstheme="majorBidi"/>
        </w:rPr>
        <w:t>les décès maternels évitables et d’autre part, par les besoins non satisfaits en planification familiale. Cela en précisant, préalablement la méthodologie à laquelle recours sera fait et les données qui</w:t>
      </w:r>
      <w:r>
        <w:rPr>
          <w:rFonts w:asciiTheme="majorBidi" w:hAnsiTheme="majorBidi" w:cstheme="majorBidi"/>
        </w:rPr>
        <w:t xml:space="preserve"> </w:t>
      </w:r>
      <w:r w:rsidR="00426565">
        <w:rPr>
          <w:rFonts w:asciiTheme="majorBidi" w:hAnsiTheme="majorBidi" w:cstheme="majorBidi"/>
        </w:rPr>
        <w:t>seront utilisées pour ce faire. Cette consultation, devant s’inspirer de l’étude réalisée à ce sujet par UNFPA, doit, par ailleurs, s’inscrire dans une perspective d’anticipation</w:t>
      </w:r>
      <w:r w:rsidR="007F18E3">
        <w:rPr>
          <w:rFonts w:asciiTheme="majorBidi" w:hAnsiTheme="majorBidi" w:cstheme="majorBidi"/>
        </w:rPr>
        <w:t>. Cela en se penchant, au-delà de l’évaluation des coûts, sur la prévision des budgets à mobiliser pour les couvrir.</w:t>
      </w:r>
    </w:p>
    <w:p w:rsidR="001F5CB2" w:rsidRDefault="001F5CB2" w:rsidP="007F18E3">
      <w:pPr>
        <w:autoSpaceDE w:val="0"/>
        <w:autoSpaceDN w:val="0"/>
        <w:adjustRightInd w:val="0"/>
        <w:spacing w:after="0" w:line="240" w:lineRule="auto"/>
        <w:ind w:left="360" w:firstLine="708"/>
        <w:jc w:val="both"/>
        <w:rPr>
          <w:rFonts w:asciiTheme="majorBidi" w:hAnsiTheme="majorBidi" w:cstheme="majorBidi"/>
        </w:rPr>
      </w:pPr>
    </w:p>
    <w:p w:rsidR="00996113" w:rsidRDefault="007F18E3" w:rsidP="007F18E3">
      <w:pPr>
        <w:autoSpaceDE w:val="0"/>
        <w:autoSpaceDN w:val="0"/>
        <w:adjustRightInd w:val="0"/>
        <w:spacing w:after="0" w:line="240" w:lineRule="auto"/>
        <w:ind w:left="360" w:firstLine="708"/>
        <w:jc w:val="both"/>
        <w:rPr>
          <w:rFonts w:asciiTheme="majorBidi" w:hAnsiTheme="majorBidi" w:cstheme="majorBidi"/>
        </w:rPr>
      </w:pPr>
      <w:r>
        <w:rPr>
          <w:rFonts w:asciiTheme="majorBidi" w:hAnsiTheme="majorBidi" w:cstheme="majorBidi"/>
        </w:rPr>
        <w:t xml:space="preserve"> </w:t>
      </w:r>
      <w:r w:rsidR="00426565">
        <w:rPr>
          <w:rFonts w:asciiTheme="majorBidi" w:hAnsiTheme="majorBidi" w:cstheme="majorBidi"/>
        </w:rPr>
        <w:t xml:space="preserve">  </w:t>
      </w:r>
      <w:r w:rsidR="00305747">
        <w:rPr>
          <w:rFonts w:asciiTheme="majorBidi" w:hAnsiTheme="majorBidi" w:cstheme="majorBidi"/>
        </w:rPr>
        <w:t>Plus précisément, il s’agira de :</w:t>
      </w:r>
    </w:p>
    <w:p w:rsidR="001F5CB2" w:rsidRDefault="001F5CB2" w:rsidP="007F18E3">
      <w:pPr>
        <w:autoSpaceDE w:val="0"/>
        <w:autoSpaceDN w:val="0"/>
        <w:adjustRightInd w:val="0"/>
        <w:spacing w:after="0" w:line="240" w:lineRule="auto"/>
        <w:ind w:left="360" w:firstLine="708"/>
        <w:jc w:val="both"/>
        <w:rPr>
          <w:rFonts w:asciiTheme="majorBidi" w:hAnsiTheme="majorBidi" w:cstheme="majorBidi"/>
        </w:rPr>
      </w:pPr>
    </w:p>
    <w:p w:rsidR="00305747" w:rsidRDefault="00305747" w:rsidP="00305747">
      <w:pPr>
        <w:pStyle w:val="ListParagraph"/>
        <w:numPr>
          <w:ilvl w:val="0"/>
          <w:numId w:val="7"/>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Décrire et énoncer de façon claire et précise la méthodologie de l’évaluation des coûts des résultats transformateurs du plan stratégique de UNFPA ;</w:t>
      </w:r>
    </w:p>
    <w:p w:rsidR="00305747" w:rsidRDefault="00305747" w:rsidP="00305747">
      <w:pPr>
        <w:pStyle w:val="ListParagraph"/>
        <w:numPr>
          <w:ilvl w:val="0"/>
          <w:numId w:val="7"/>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Collecter les données nécessaires au niveau national pour procéder à cette évaluation pour les deux résultats transformateurs : zéro décès maternels évitables et zéro besoins non satisfaits en matière de planification familiale ;</w:t>
      </w:r>
    </w:p>
    <w:p w:rsidR="00305747" w:rsidRDefault="00305747" w:rsidP="00305747">
      <w:pPr>
        <w:pStyle w:val="ListParagraph"/>
        <w:numPr>
          <w:ilvl w:val="0"/>
          <w:numId w:val="7"/>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Adapter la méthodologie d’évaluation des coûts au contexte marocain ;</w:t>
      </w:r>
    </w:p>
    <w:p w:rsidR="00305747" w:rsidRDefault="00305747" w:rsidP="00305747">
      <w:pPr>
        <w:pStyle w:val="ListParagraph"/>
        <w:numPr>
          <w:ilvl w:val="0"/>
          <w:numId w:val="7"/>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Elaborer le document d’évaluation des coûts des deux résultats transformateurs en précisant clairement les hypothèses </w:t>
      </w:r>
      <w:r w:rsidR="001F5CB2">
        <w:rPr>
          <w:rFonts w:asciiTheme="majorBidi" w:hAnsiTheme="majorBidi" w:cstheme="majorBidi"/>
        </w:rPr>
        <w:t>et en retenant comme horizon d’atteinte des objectifs 2030.</w:t>
      </w:r>
    </w:p>
    <w:p w:rsidR="00D95E43" w:rsidRDefault="00D95E43" w:rsidP="00305747">
      <w:pPr>
        <w:pStyle w:val="ListParagraph"/>
        <w:numPr>
          <w:ilvl w:val="0"/>
          <w:numId w:val="7"/>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Evaluer pour le même horizon les efforts à consentir en termes de mobilisation des ressources pour faire face à ces coûts ;</w:t>
      </w:r>
    </w:p>
    <w:p w:rsidR="00D95E43" w:rsidRDefault="00D95E43" w:rsidP="00305747">
      <w:pPr>
        <w:pStyle w:val="ListParagraph"/>
        <w:numPr>
          <w:ilvl w:val="0"/>
          <w:numId w:val="7"/>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Proposer des recommandations pour atteindre les objectifs d’atteinte des deux résultats transformateurs ;</w:t>
      </w:r>
    </w:p>
    <w:p w:rsidR="00D95E43" w:rsidRDefault="00D95E43" w:rsidP="00D95E43">
      <w:pPr>
        <w:autoSpaceDE w:val="0"/>
        <w:autoSpaceDN w:val="0"/>
        <w:adjustRightInd w:val="0"/>
        <w:spacing w:after="0" w:line="240" w:lineRule="auto"/>
        <w:jc w:val="both"/>
        <w:rPr>
          <w:rFonts w:asciiTheme="majorBidi" w:hAnsiTheme="majorBidi" w:cstheme="majorBidi"/>
        </w:rPr>
      </w:pPr>
    </w:p>
    <w:p w:rsidR="00D95E43" w:rsidRDefault="00D95E43" w:rsidP="00D95E43">
      <w:pPr>
        <w:pStyle w:val="ListParagraph"/>
        <w:numPr>
          <w:ilvl w:val="0"/>
          <w:numId w:val="1"/>
        </w:numPr>
        <w:spacing w:after="0"/>
        <w:rPr>
          <w:rFonts w:asciiTheme="majorBidi" w:hAnsiTheme="majorBidi" w:cstheme="majorBidi"/>
          <w:b/>
          <w:bCs/>
        </w:rPr>
      </w:pPr>
      <w:r w:rsidRPr="00D95E43">
        <w:rPr>
          <w:rFonts w:asciiTheme="majorBidi" w:hAnsiTheme="majorBidi" w:cstheme="majorBidi"/>
          <w:b/>
          <w:bCs/>
        </w:rPr>
        <w:t>Livrables</w:t>
      </w:r>
      <w:r>
        <w:rPr>
          <w:rFonts w:asciiTheme="majorBidi" w:hAnsiTheme="majorBidi" w:cstheme="majorBidi"/>
          <w:b/>
          <w:bCs/>
        </w:rPr>
        <w:t> :</w:t>
      </w:r>
    </w:p>
    <w:p w:rsidR="00D95E43" w:rsidRPr="006168C9" w:rsidRDefault="00D95E43" w:rsidP="00D95E43">
      <w:pPr>
        <w:pStyle w:val="ListParagraph"/>
        <w:spacing w:after="0"/>
        <w:rPr>
          <w:rFonts w:asciiTheme="majorBidi" w:hAnsiTheme="majorBidi" w:cstheme="majorBidi"/>
        </w:rPr>
      </w:pPr>
    </w:p>
    <w:p w:rsidR="00D95E43" w:rsidRDefault="006168C9" w:rsidP="00D95E43">
      <w:pPr>
        <w:pStyle w:val="ListParagraph"/>
        <w:spacing w:after="0"/>
        <w:rPr>
          <w:rFonts w:asciiTheme="majorBidi" w:hAnsiTheme="majorBidi" w:cstheme="majorBidi"/>
        </w:rPr>
      </w:pPr>
      <w:r w:rsidRPr="006168C9">
        <w:rPr>
          <w:rFonts w:asciiTheme="majorBidi" w:hAnsiTheme="majorBidi" w:cstheme="majorBidi"/>
        </w:rPr>
        <w:t xml:space="preserve">Les livrables </w:t>
      </w:r>
      <w:r>
        <w:rPr>
          <w:rFonts w:asciiTheme="majorBidi" w:hAnsiTheme="majorBidi" w:cstheme="majorBidi"/>
        </w:rPr>
        <w:t>à soumettre dans le cadre de cette consultation sont :</w:t>
      </w:r>
    </w:p>
    <w:p w:rsidR="006168C9" w:rsidRDefault="006168C9" w:rsidP="00D95E43">
      <w:pPr>
        <w:pStyle w:val="ListParagraph"/>
        <w:spacing w:after="0"/>
        <w:rPr>
          <w:rFonts w:asciiTheme="majorBidi" w:hAnsiTheme="majorBidi" w:cstheme="majorBidi"/>
        </w:rPr>
      </w:pPr>
    </w:p>
    <w:p w:rsidR="006168C9" w:rsidRDefault="006168C9" w:rsidP="006168C9">
      <w:pPr>
        <w:pStyle w:val="ListParagraph"/>
        <w:numPr>
          <w:ilvl w:val="0"/>
          <w:numId w:val="8"/>
        </w:numPr>
        <w:spacing w:after="0"/>
        <w:rPr>
          <w:rFonts w:asciiTheme="majorBidi" w:hAnsiTheme="majorBidi" w:cstheme="majorBidi"/>
        </w:rPr>
      </w:pPr>
      <w:r>
        <w:rPr>
          <w:rFonts w:asciiTheme="majorBidi" w:hAnsiTheme="majorBidi" w:cstheme="majorBidi"/>
        </w:rPr>
        <w:t>Une note méthodologique assez détaillée pour la conduite de l’étude ;</w:t>
      </w:r>
    </w:p>
    <w:p w:rsidR="006168C9" w:rsidRDefault="006168C9" w:rsidP="006168C9">
      <w:pPr>
        <w:pStyle w:val="ListParagraph"/>
        <w:numPr>
          <w:ilvl w:val="0"/>
          <w:numId w:val="8"/>
        </w:numPr>
        <w:spacing w:after="0"/>
        <w:rPr>
          <w:rFonts w:asciiTheme="majorBidi" w:hAnsiTheme="majorBidi" w:cstheme="majorBidi"/>
        </w:rPr>
      </w:pPr>
      <w:r>
        <w:rPr>
          <w:rFonts w:asciiTheme="majorBidi" w:hAnsiTheme="majorBidi" w:cstheme="majorBidi"/>
        </w:rPr>
        <w:t>Le document d’évaluation des deux résultats transformateurs retenus ;</w:t>
      </w:r>
    </w:p>
    <w:p w:rsidR="006168C9" w:rsidRDefault="006168C9" w:rsidP="006168C9">
      <w:pPr>
        <w:pStyle w:val="ListParagraph"/>
        <w:numPr>
          <w:ilvl w:val="0"/>
          <w:numId w:val="8"/>
        </w:numPr>
        <w:spacing w:after="0"/>
        <w:rPr>
          <w:rFonts w:asciiTheme="majorBidi" w:hAnsiTheme="majorBidi" w:cstheme="majorBidi"/>
        </w:rPr>
      </w:pPr>
      <w:r>
        <w:rPr>
          <w:rFonts w:asciiTheme="majorBidi" w:hAnsiTheme="majorBidi" w:cstheme="majorBidi"/>
        </w:rPr>
        <w:t>Une présentation synthétique de la méthodologie et des résultats de l’étude ;</w:t>
      </w:r>
    </w:p>
    <w:p w:rsidR="006168C9" w:rsidRDefault="006168C9" w:rsidP="006168C9">
      <w:pPr>
        <w:pStyle w:val="ListParagraph"/>
        <w:spacing w:after="0"/>
        <w:ind w:left="1080"/>
        <w:rPr>
          <w:rFonts w:asciiTheme="majorBidi" w:hAnsiTheme="majorBidi" w:cstheme="majorBidi"/>
        </w:rPr>
      </w:pPr>
    </w:p>
    <w:p w:rsidR="006168C9" w:rsidRDefault="006168C9" w:rsidP="006168C9">
      <w:pPr>
        <w:pStyle w:val="ListParagraph"/>
        <w:numPr>
          <w:ilvl w:val="0"/>
          <w:numId w:val="1"/>
        </w:numPr>
        <w:spacing w:after="0"/>
        <w:rPr>
          <w:rFonts w:asciiTheme="majorBidi" w:hAnsiTheme="majorBidi" w:cstheme="majorBidi"/>
          <w:b/>
          <w:bCs/>
        </w:rPr>
      </w:pPr>
      <w:r w:rsidRPr="006168C9">
        <w:rPr>
          <w:rFonts w:asciiTheme="majorBidi" w:hAnsiTheme="majorBidi" w:cstheme="majorBidi"/>
          <w:b/>
          <w:bCs/>
        </w:rPr>
        <w:t>Délai pour la conduite et finalisation de l’étude :</w:t>
      </w:r>
    </w:p>
    <w:p w:rsidR="006168C9" w:rsidRDefault="006168C9" w:rsidP="006168C9">
      <w:pPr>
        <w:spacing w:after="0"/>
        <w:rPr>
          <w:rFonts w:asciiTheme="majorBidi" w:hAnsiTheme="majorBidi" w:cstheme="majorBidi"/>
          <w:b/>
          <w:bCs/>
        </w:rPr>
      </w:pPr>
      <w:r>
        <w:rPr>
          <w:rFonts w:asciiTheme="majorBidi" w:hAnsiTheme="majorBidi" w:cstheme="majorBidi"/>
          <w:b/>
          <w:bCs/>
        </w:rPr>
        <w:t xml:space="preserve"> </w:t>
      </w:r>
    </w:p>
    <w:p w:rsidR="006168C9" w:rsidRDefault="006168C9" w:rsidP="006168C9">
      <w:pPr>
        <w:spacing w:after="0"/>
        <w:ind w:firstLine="708"/>
        <w:rPr>
          <w:rFonts w:asciiTheme="majorBidi" w:hAnsiTheme="majorBidi" w:cstheme="majorBidi"/>
        </w:rPr>
      </w:pPr>
      <w:r w:rsidRPr="006168C9">
        <w:rPr>
          <w:rFonts w:asciiTheme="majorBidi" w:hAnsiTheme="majorBidi" w:cstheme="majorBidi"/>
        </w:rPr>
        <w:t>L’étude doit être finalisée et les livrables soumis et validés avant le 1</w:t>
      </w:r>
      <w:r w:rsidRPr="006168C9">
        <w:rPr>
          <w:rFonts w:asciiTheme="majorBidi" w:hAnsiTheme="majorBidi" w:cstheme="majorBidi"/>
          <w:vertAlign w:val="superscript"/>
        </w:rPr>
        <w:t>er</w:t>
      </w:r>
      <w:r w:rsidRPr="006168C9">
        <w:rPr>
          <w:rFonts w:asciiTheme="majorBidi" w:hAnsiTheme="majorBidi" w:cstheme="majorBidi"/>
        </w:rPr>
        <w:t xml:space="preserve"> Décembre 2020</w:t>
      </w:r>
    </w:p>
    <w:p w:rsidR="00904D58" w:rsidRDefault="00904D58" w:rsidP="006168C9">
      <w:pPr>
        <w:spacing w:after="0"/>
        <w:ind w:firstLine="708"/>
        <w:rPr>
          <w:rFonts w:asciiTheme="majorBidi" w:hAnsiTheme="majorBidi" w:cstheme="majorBidi"/>
        </w:rPr>
      </w:pPr>
    </w:p>
    <w:p w:rsidR="00904D58" w:rsidRPr="00904D58" w:rsidRDefault="00904D58" w:rsidP="00904D58">
      <w:pPr>
        <w:pStyle w:val="ListParagraph"/>
        <w:numPr>
          <w:ilvl w:val="0"/>
          <w:numId w:val="1"/>
        </w:numPr>
        <w:spacing w:after="0"/>
        <w:rPr>
          <w:rFonts w:asciiTheme="majorBidi" w:hAnsiTheme="majorBidi" w:cstheme="majorBidi"/>
          <w:b/>
          <w:bCs/>
        </w:rPr>
      </w:pPr>
      <w:r w:rsidRPr="00904D58">
        <w:rPr>
          <w:rFonts w:asciiTheme="majorBidi" w:hAnsiTheme="majorBidi" w:cstheme="majorBidi"/>
          <w:b/>
          <w:bCs/>
        </w:rPr>
        <w:t>Profil du consultant</w:t>
      </w:r>
    </w:p>
    <w:p w:rsidR="00904D58" w:rsidRPr="00AC6188" w:rsidRDefault="00904D58" w:rsidP="00904D58">
      <w:pPr>
        <w:pStyle w:val="Normal1"/>
        <w:ind w:left="475"/>
        <w:jc w:val="both"/>
        <w:rPr>
          <w:rFonts w:asciiTheme="minorBidi" w:hAnsiTheme="minorBidi" w:cstheme="minorBidi"/>
          <w:sz w:val="24"/>
          <w:szCs w:val="24"/>
        </w:rPr>
      </w:pPr>
    </w:p>
    <w:p w:rsidR="00904D58" w:rsidRPr="00904D58" w:rsidRDefault="00904D58" w:rsidP="00904D58">
      <w:pPr>
        <w:pStyle w:val="BodyText"/>
        <w:numPr>
          <w:ilvl w:val="0"/>
          <w:numId w:val="10"/>
        </w:numPr>
        <w:jc w:val="both"/>
        <w:rPr>
          <w:rFonts w:asciiTheme="majorBidi" w:hAnsiTheme="majorBidi" w:cstheme="majorBidi"/>
        </w:rPr>
      </w:pPr>
      <w:r w:rsidRPr="00904D58">
        <w:rPr>
          <w:rFonts w:asciiTheme="majorBidi" w:hAnsiTheme="majorBidi" w:cstheme="majorBidi"/>
        </w:rPr>
        <w:t>Etre titu</w:t>
      </w:r>
      <w:r>
        <w:rPr>
          <w:rFonts w:asciiTheme="majorBidi" w:hAnsiTheme="majorBidi" w:cstheme="majorBidi"/>
        </w:rPr>
        <w:t xml:space="preserve">laire d’un diplôme supérieur en économie de santé </w:t>
      </w:r>
      <w:r w:rsidRPr="00904D58">
        <w:rPr>
          <w:rFonts w:asciiTheme="majorBidi" w:hAnsiTheme="majorBidi" w:cstheme="majorBidi"/>
        </w:rPr>
        <w:t>ou équivalent ;</w:t>
      </w:r>
    </w:p>
    <w:p w:rsidR="00904D58" w:rsidRPr="00904D58" w:rsidRDefault="00904D58" w:rsidP="00904D58">
      <w:pPr>
        <w:pStyle w:val="BodyText"/>
        <w:numPr>
          <w:ilvl w:val="0"/>
          <w:numId w:val="10"/>
        </w:numPr>
        <w:jc w:val="both"/>
        <w:rPr>
          <w:rFonts w:asciiTheme="majorBidi" w:hAnsiTheme="majorBidi" w:cstheme="majorBidi"/>
        </w:rPr>
      </w:pPr>
      <w:r w:rsidRPr="00904D58">
        <w:rPr>
          <w:rFonts w:asciiTheme="majorBidi" w:hAnsiTheme="majorBidi" w:cstheme="majorBidi"/>
        </w:rPr>
        <w:t xml:space="preserve">Avoir une bonne connaissance de la </w:t>
      </w:r>
      <w:r>
        <w:rPr>
          <w:rFonts w:asciiTheme="majorBidi" w:hAnsiTheme="majorBidi" w:cstheme="majorBidi"/>
        </w:rPr>
        <w:t>problématique de santé reproductive au Maroc</w:t>
      </w:r>
      <w:r w:rsidRPr="00904D58">
        <w:rPr>
          <w:rFonts w:asciiTheme="majorBidi" w:hAnsiTheme="majorBidi" w:cstheme="majorBidi"/>
        </w:rPr>
        <w:t>;</w:t>
      </w:r>
    </w:p>
    <w:p w:rsidR="00904D58" w:rsidRPr="00904D58" w:rsidRDefault="00904D58" w:rsidP="00904D58">
      <w:pPr>
        <w:pStyle w:val="BodyText"/>
        <w:numPr>
          <w:ilvl w:val="0"/>
          <w:numId w:val="10"/>
        </w:numPr>
        <w:jc w:val="both"/>
        <w:rPr>
          <w:rFonts w:asciiTheme="majorBidi" w:hAnsiTheme="majorBidi" w:cstheme="majorBidi"/>
        </w:rPr>
      </w:pPr>
      <w:r w:rsidRPr="00904D58">
        <w:rPr>
          <w:rFonts w:asciiTheme="majorBidi" w:hAnsiTheme="majorBidi" w:cstheme="majorBidi"/>
        </w:rPr>
        <w:t>Etre doté d’une expérience de plus de 1</w:t>
      </w:r>
      <w:r>
        <w:rPr>
          <w:rFonts w:asciiTheme="majorBidi" w:hAnsiTheme="majorBidi" w:cstheme="majorBidi"/>
        </w:rPr>
        <w:t>0</w:t>
      </w:r>
      <w:r w:rsidRPr="00904D58">
        <w:rPr>
          <w:rFonts w:asciiTheme="majorBidi" w:hAnsiTheme="majorBidi" w:cstheme="majorBidi"/>
        </w:rPr>
        <w:t xml:space="preserve"> ans dans </w:t>
      </w:r>
      <w:r>
        <w:rPr>
          <w:rFonts w:asciiTheme="majorBidi" w:hAnsiTheme="majorBidi" w:cstheme="majorBidi"/>
        </w:rPr>
        <w:t>le domaine de la santé, en général et la santé reproductive, en particulier</w:t>
      </w:r>
    </w:p>
    <w:p w:rsidR="00904D58" w:rsidRPr="00904D58" w:rsidRDefault="00904D58" w:rsidP="00904D58">
      <w:pPr>
        <w:pStyle w:val="BodyText"/>
        <w:numPr>
          <w:ilvl w:val="0"/>
          <w:numId w:val="10"/>
        </w:numPr>
        <w:jc w:val="both"/>
        <w:rPr>
          <w:rFonts w:asciiTheme="majorBidi" w:hAnsiTheme="majorBidi" w:cstheme="majorBidi"/>
        </w:rPr>
      </w:pPr>
      <w:r w:rsidRPr="00904D58">
        <w:rPr>
          <w:rFonts w:asciiTheme="majorBidi" w:hAnsiTheme="majorBidi" w:cstheme="majorBidi"/>
        </w:rPr>
        <w:t>Justifier d’une bonne expérience dans la rédaction de notes de synthèses et de rapports.</w:t>
      </w:r>
    </w:p>
    <w:p w:rsidR="00904D58" w:rsidRPr="00AC6188" w:rsidRDefault="00904D58" w:rsidP="00904D58">
      <w:pPr>
        <w:pStyle w:val="BodyText"/>
        <w:ind w:left="360"/>
        <w:rPr>
          <w:rFonts w:asciiTheme="minorBidi" w:hAnsiTheme="minorBidi" w:cstheme="minorBidi"/>
          <w:sz w:val="24"/>
          <w:szCs w:val="24"/>
        </w:rPr>
      </w:pPr>
    </w:p>
    <w:p w:rsidR="00904D58" w:rsidRPr="00904D58" w:rsidRDefault="00904D58" w:rsidP="00904D58">
      <w:pPr>
        <w:pStyle w:val="ListParagraph"/>
        <w:numPr>
          <w:ilvl w:val="0"/>
          <w:numId w:val="1"/>
        </w:numPr>
        <w:spacing w:after="0"/>
        <w:rPr>
          <w:rFonts w:asciiTheme="majorBidi" w:hAnsiTheme="majorBidi" w:cstheme="majorBidi"/>
          <w:b/>
          <w:bCs/>
        </w:rPr>
      </w:pPr>
      <w:r w:rsidRPr="00904D58">
        <w:rPr>
          <w:rFonts w:asciiTheme="majorBidi" w:hAnsiTheme="majorBidi" w:cstheme="majorBidi"/>
          <w:b/>
          <w:bCs/>
        </w:rPr>
        <w:t>Présentation de l’offre de candidature</w:t>
      </w:r>
    </w:p>
    <w:p w:rsidR="00904D58" w:rsidRPr="00904D58" w:rsidRDefault="00904D58" w:rsidP="00904D58">
      <w:pPr>
        <w:pStyle w:val="ListParagraph"/>
        <w:spacing w:after="0"/>
        <w:rPr>
          <w:rFonts w:asciiTheme="majorBidi" w:hAnsiTheme="majorBidi" w:cstheme="majorBidi"/>
          <w:b/>
          <w:bCs/>
        </w:rPr>
      </w:pPr>
    </w:p>
    <w:p w:rsidR="00904D58" w:rsidRPr="00904D58" w:rsidRDefault="00904D58" w:rsidP="00904D58">
      <w:pPr>
        <w:pStyle w:val="ListParagraph"/>
        <w:spacing w:after="0"/>
        <w:rPr>
          <w:rFonts w:asciiTheme="majorBidi" w:hAnsiTheme="majorBidi" w:cstheme="majorBidi"/>
        </w:rPr>
      </w:pPr>
      <w:r w:rsidRPr="00904D58">
        <w:rPr>
          <w:rFonts w:asciiTheme="majorBidi" w:hAnsiTheme="majorBidi" w:cstheme="majorBidi"/>
        </w:rPr>
        <w:t>L’offre de candidature doit comprendre :</w:t>
      </w:r>
    </w:p>
    <w:p w:rsidR="00904D58" w:rsidRPr="00904D58" w:rsidRDefault="00904D58" w:rsidP="00904D58">
      <w:pPr>
        <w:pStyle w:val="BodyText"/>
        <w:numPr>
          <w:ilvl w:val="0"/>
          <w:numId w:val="10"/>
        </w:numPr>
        <w:jc w:val="both"/>
        <w:rPr>
          <w:rFonts w:asciiTheme="majorBidi" w:hAnsiTheme="majorBidi" w:cstheme="majorBidi"/>
        </w:rPr>
      </w:pPr>
      <w:r w:rsidRPr="00904D58">
        <w:rPr>
          <w:rFonts w:asciiTheme="majorBidi" w:hAnsiTheme="majorBidi" w:cstheme="majorBidi"/>
        </w:rPr>
        <w:t>Le curriculum vitae détaillé du consultant ;</w:t>
      </w:r>
    </w:p>
    <w:p w:rsidR="00904D58" w:rsidRPr="00904D58" w:rsidRDefault="00904D58" w:rsidP="00904D58">
      <w:pPr>
        <w:pStyle w:val="BodyText"/>
        <w:numPr>
          <w:ilvl w:val="0"/>
          <w:numId w:val="10"/>
        </w:numPr>
        <w:jc w:val="both"/>
        <w:rPr>
          <w:rFonts w:asciiTheme="majorBidi" w:hAnsiTheme="majorBidi" w:cstheme="majorBidi"/>
        </w:rPr>
      </w:pPr>
      <w:r w:rsidRPr="00904D58">
        <w:rPr>
          <w:rFonts w:asciiTheme="majorBidi" w:hAnsiTheme="majorBidi" w:cstheme="majorBidi"/>
        </w:rPr>
        <w:t>L’offre technique accompagnée de l’approche méthodologique et du chronogramme des tâches;</w:t>
      </w:r>
    </w:p>
    <w:p w:rsidR="00904D58" w:rsidRPr="00904D58" w:rsidRDefault="00904D58" w:rsidP="00904D58">
      <w:pPr>
        <w:pStyle w:val="BodyText"/>
        <w:numPr>
          <w:ilvl w:val="0"/>
          <w:numId w:val="10"/>
        </w:numPr>
        <w:jc w:val="both"/>
        <w:rPr>
          <w:rFonts w:asciiTheme="majorBidi" w:hAnsiTheme="majorBidi" w:cstheme="majorBidi"/>
        </w:rPr>
      </w:pPr>
      <w:r w:rsidRPr="00904D58">
        <w:rPr>
          <w:rFonts w:asciiTheme="majorBidi" w:hAnsiTheme="majorBidi" w:cstheme="majorBidi"/>
        </w:rPr>
        <w:t xml:space="preserve">L’offre financière ; </w:t>
      </w:r>
    </w:p>
    <w:p w:rsidR="00904D58" w:rsidRPr="00904D58" w:rsidRDefault="00904D58" w:rsidP="00904D58">
      <w:pPr>
        <w:pStyle w:val="BodyText"/>
        <w:numPr>
          <w:ilvl w:val="0"/>
          <w:numId w:val="10"/>
        </w:numPr>
        <w:jc w:val="both"/>
        <w:rPr>
          <w:rFonts w:asciiTheme="majorBidi" w:hAnsiTheme="majorBidi" w:cstheme="majorBidi"/>
        </w:rPr>
      </w:pPr>
      <w:r w:rsidRPr="00904D58">
        <w:rPr>
          <w:rFonts w:asciiTheme="majorBidi" w:hAnsiTheme="majorBidi" w:cstheme="majorBidi"/>
        </w:rPr>
        <w:t>Toute référence jugée utile pour éclairer le profil du consultant.</w:t>
      </w:r>
    </w:p>
    <w:p w:rsidR="00904D58" w:rsidRPr="00AC6188" w:rsidRDefault="00904D58" w:rsidP="00904D58">
      <w:pPr>
        <w:pStyle w:val="BodyText"/>
        <w:ind w:left="360"/>
        <w:rPr>
          <w:rFonts w:asciiTheme="minorBidi" w:hAnsiTheme="minorBidi" w:cstheme="minorBidi"/>
          <w:sz w:val="24"/>
          <w:szCs w:val="24"/>
        </w:rPr>
      </w:pPr>
    </w:p>
    <w:p w:rsidR="00904D58" w:rsidRPr="00904D58" w:rsidRDefault="00904D58" w:rsidP="00904D58">
      <w:pPr>
        <w:pStyle w:val="ListParagraph"/>
        <w:numPr>
          <w:ilvl w:val="0"/>
          <w:numId w:val="1"/>
        </w:numPr>
        <w:spacing w:after="0"/>
        <w:rPr>
          <w:rFonts w:asciiTheme="majorBidi" w:hAnsiTheme="majorBidi" w:cstheme="majorBidi"/>
          <w:b/>
          <w:bCs/>
        </w:rPr>
      </w:pPr>
      <w:r w:rsidRPr="00904D58">
        <w:rPr>
          <w:rFonts w:asciiTheme="majorBidi" w:hAnsiTheme="majorBidi" w:cstheme="majorBidi"/>
          <w:b/>
          <w:bCs/>
        </w:rPr>
        <w:t>Dépôt du dossier de candidature</w:t>
      </w:r>
    </w:p>
    <w:p w:rsidR="00904D58" w:rsidRPr="00AC6188" w:rsidRDefault="00904D58" w:rsidP="00904D58">
      <w:pPr>
        <w:pStyle w:val="BodyText"/>
        <w:ind w:left="360"/>
        <w:rPr>
          <w:rFonts w:asciiTheme="minorBidi" w:hAnsiTheme="minorBidi" w:cstheme="minorBidi"/>
          <w:sz w:val="24"/>
          <w:szCs w:val="24"/>
        </w:rPr>
      </w:pPr>
    </w:p>
    <w:p w:rsidR="00904D58" w:rsidRPr="00904D58" w:rsidRDefault="00904D58" w:rsidP="00904D58">
      <w:pPr>
        <w:pStyle w:val="ListParagraph"/>
        <w:spacing w:after="0"/>
        <w:rPr>
          <w:rFonts w:asciiTheme="majorBidi" w:hAnsiTheme="majorBidi" w:cstheme="majorBidi"/>
        </w:rPr>
      </w:pPr>
      <w:r w:rsidRPr="00904D58">
        <w:rPr>
          <w:rFonts w:asciiTheme="majorBidi" w:hAnsiTheme="majorBidi" w:cstheme="majorBidi"/>
        </w:rPr>
        <w:t xml:space="preserve">Les candidat(e)s intéressé(e)s par cet appel d’offres sont prié(e)s d’envoyer leurs dossiers aux adresses emails suivantes : </w:t>
      </w:r>
      <w:hyperlink r:id="rId8" w:history="1">
        <w:r w:rsidRPr="00904D58">
          <w:rPr>
            <w:rFonts w:asciiTheme="majorBidi" w:hAnsiTheme="majorBidi" w:cstheme="majorBidi"/>
          </w:rPr>
          <w:t>elakel@unfpa.org</w:t>
        </w:r>
      </w:hyperlink>
      <w:r w:rsidRPr="00904D58">
        <w:rPr>
          <w:rFonts w:asciiTheme="majorBidi" w:hAnsiTheme="majorBidi" w:cstheme="majorBidi"/>
        </w:rPr>
        <w:t xml:space="preserve"> et elbergui@unfpa.org</w:t>
      </w:r>
    </w:p>
    <w:p w:rsidR="00904D58" w:rsidRPr="00904D58" w:rsidRDefault="00904D58" w:rsidP="00904D58">
      <w:pPr>
        <w:pStyle w:val="ListParagraph"/>
        <w:spacing w:after="0"/>
        <w:rPr>
          <w:rFonts w:asciiTheme="majorBidi" w:hAnsiTheme="majorBidi" w:cstheme="majorBidi"/>
        </w:rPr>
      </w:pPr>
      <w:r w:rsidRPr="00904D58">
        <w:rPr>
          <w:rFonts w:asciiTheme="majorBidi" w:hAnsiTheme="majorBidi" w:cstheme="majorBidi"/>
        </w:rPr>
        <w:t xml:space="preserve">Le délai de soumission des candidatures est fixé au </w:t>
      </w:r>
      <w:r w:rsidRPr="00904D58">
        <w:rPr>
          <w:rFonts w:asciiTheme="majorBidi" w:hAnsiTheme="majorBidi" w:cstheme="majorBidi"/>
          <w:b/>
          <w:bCs/>
        </w:rPr>
        <w:t>25 octobre 2020</w:t>
      </w:r>
      <w:r w:rsidRPr="00904D58">
        <w:rPr>
          <w:rFonts w:asciiTheme="majorBidi" w:hAnsiTheme="majorBidi" w:cstheme="majorBidi"/>
        </w:rPr>
        <w:t>, au plus tard. Seules les candidatures répondant aux critères susmentionnés seront prises en considération.</w:t>
      </w:r>
    </w:p>
    <w:p w:rsidR="00904D58" w:rsidRPr="00904D58" w:rsidRDefault="00904D58" w:rsidP="006168C9">
      <w:pPr>
        <w:spacing w:after="0"/>
        <w:ind w:firstLine="708"/>
        <w:rPr>
          <w:rFonts w:asciiTheme="majorBidi" w:hAnsiTheme="majorBidi" w:cstheme="majorBidi"/>
          <w:lang w:val="fr-FR"/>
        </w:rPr>
      </w:pPr>
    </w:p>
    <w:p w:rsidR="006168C9" w:rsidRPr="006168C9" w:rsidRDefault="006168C9" w:rsidP="006168C9">
      <w:pPr>
        <w:spacing w:after="0"/>
        <w:rPr>
          <w:rFonts w:asciiTheme="majorBidi" w:hAnsiTheme="majorBidi" w:cstheme="majorBidi"/>
        </w:rPr>
      </w:pPr>
    </w:p>
    <w:sectPr w:rsidR="006168C9" w:rsidRPr="006168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0F" w:rsidRDefault="005D5E0F" w:rsidP="00D83A77">
      <w:pPr>
        <w:spacing w:after="0" w:line="240" w:lineRule="auto"/>
      </w:pPr>
      <w:r>
        <w:separator/>
      </w:r>
    </w:p>
  </w:endnote>
  <w:endnote w:type="continuationSeparator" w:id="0">
    <w:p w:rsidR="005D5E0F" w:rsidRDefault="005D5E0F" w:rsidP="00D8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riaSerif-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0F" w:rsidRDefault="005D5E0F" w:rsidP="00D83A77">
      <w:pPr>
        <w:spacing w:after="0" w:line="240" w:lineRule="auto"/>
      </w:pPr>
      <w:r>
        <w:separator/>
      </w:r>
    </w:p>
  </w:footnote>
  <w:footnote w:type="continuationSeparator" w:id="0">
    <w:p w:rsidR="005D5E0F" w:rsidRDefault="005D5E0F" w:rsidP="00D83A77">
      <w:pPr>
        <w:spacing w:after="0" w:line="240" w:lineRule="auto"/>
      </w:pPr>
      <w:r>
        <w:continuationSeparator/>
      </w:r>
    </w:p>
  </w:footnote>
  <w:footnote w:id="1">
    <w:p w:rsidR="00BC0188" w:rsidRPr="00BC0188" w:rsidRDefault="00BC0188">
      <w:pPr>
        <w:pStyle w:val="FootnoteText"/>
        <w:rPr>
          <w:lang w:val="fr-FR"/>
        </w:rPr>
      </w:pPr>
      <w:r>
        <w:rPr>
          <w:rStyle w:val="FootnoteReference"/>
        </w:rPr>
        <w:footnoteRef/>
      </w:r>
      <w:r>
        <w:t xml:space="preserve"> UNFPA (2020) : Evaluation du coût des trois résultats transformateurs</w:t>
      </w:r>
    </w:p>
  </w:footnote>
  <w:footnote w:id="2">
    <w:p w:rsidR="00BC0188" w:rsidRPr="00FA60C9" w:rsidRDefault="00BC0188" w:rsidP="00BC0188">
      <w:pPr>
        <w:pStyle w:val="EndnoteText"/>
        <w:jc w:val="both"/>
        <w:rPr>
          <w:lang w:val="fr-FR"/>
        </w:rPr>
      </w:pPr>
      <w:r>
        <w:rPr>
          <w:rStyle w:val="FootnoteReference"/>
        </w:rPr>
        <w:footnoteRef/>
      </w:r>
      <w:r>
        <w:t xml:space="preserve"> Pour les décès maternels évitables et les besoins non satisfaits en planification familiale, les 120 pays prioritaires. Pour les mutilations génitales, les 31 pays les plus touchés. Pour le mariage des enfants, les 68 pays où le phénomène sévit le plus et pour la violence fondée sur le genre, 132 pays.</w:t>
      </w:r>
    </w:p>
    <w:p w:rsidR="00BC0188" w:rsidRPr="00BC0188" w:rsidRDefault="00BC0188" w:rsidP="00BC0188">
      <w:pPr>
        <w:pStyle w:val="FootnoteText"/>
        <w:jc w:val="both"/>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7A22"/>
    <w:multiLevelType w:val="hybridMultilevel"/>
    <w:tmpl w:val="28D85ED0"/>
    <w:lvl w:ilvl="0" w:tplc="21EE2776">
      <w:start w:val="1"/>
      <w:numFmt w:val="bullet"/>
      <w:lvlText w:val="-"/>
      <w:lvlJc w:val="left"/>
      <w:pPr>
        <w:ind w:left="720" w:hanging="360"/>
      </w:pPr>
      <w:rPr>
        <w:rFonts w:ascii="InriaSerif-Regular" w:eastAsiaTheme="minorHAnsi" w:hAnsi="InriaSerif-Regular" w:cs="InriaSerif-Regular"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14C16AEF"/>
    <w:multiLevelType w:val="hybridMultilevel"/>
    <w:tmpl w:val="487C1198"/>
    <w:lvl w:ilvl="0" w:tplc="6F5E0744">
      <w:start w:val="1"/>
      <w:numFmt w:val="bullet"/>
      <w:lvlText w:val="•"/>
      <w:lvlJc w:val="left"/>
      <w:pPr>
        <w:tabs>
          <w:tab w:val="num" w:pos="720"/>
        </w:tabs>
        <w:ind w:left="720" w:hanging="360"/>
      </w:pPr>
      <w:rPr>
        <w:rFonts w:ascii="Arial" w:hAnsi="Arial" w:hint="default"/>
      </w:rPr>
    </w:lvl>
    <w:lvl w:ilvl="1" w:tplc="F5BCF310">
      <w:start w:val="1"/>
      <w:numFmt w:val="bullet"/>
      <w:lvlText w:val="•"/>
      <w:lvlJc w:val="left"/>
      <w:pPr>
        <w:tabs>
          <w:tab w:val="num" w:pos="1440"/>
        </w:tabs>
        <w:ind w:left="1440" w:hanging="360"/>
      </w:pPr>
      <w:rPr>
        <w:rFonts w:ascii="Arial" w:hAnsi="Arial" w:hint="default"/>
      </w:rPr>
    </w:lvl>
    <w:lvl w:ilvl="2" w:tplc="35CC297E" w:tentative="1">
      <w:start w:val="1"/>
      <w:numFmt w:val="bullet"/>
      <w:lvlText w:val="•"/>
      <w:lvlJc w:val="left"/>
      <w:pPr>
        <w:tabs>
          <w:tab w:val="num" w:pos="2160"/>
        </w:tabs>
        <w:ind w:left="2160" w:hanging="360"/>
      </w:pPr>
      <w:rPr>
        <w:rFonts w:ascii="Arial" w:hAnsi="Arial" w:hint="default"/>
      </w:rPr>
    </w:lvl>
    <w:lvl w:ilvl="3" w:tplc="14182822" w:tentative="1">
      <w:start w:val="1"/>
      <w:numFmt w:val="bullet"/>
      <w:lvlText w:val="•"/>
      <w:lvlJc w:val="left"/>
      <w:pPr>
        <w:tabs>
          <w:tab w:val="num" w:pos="2880"/>
        </w:tabs>
        <w:ind w:left="2880" w:hanging="360"/>
      </w:pPr>
      <w:rPr>
        <w:rFonts w:ascii="Arial" w:hAnsi="Arial" w:hint="default"/>
      </w:rPr>
    </w:lvl>
    <w:lvl w:ilvl="4" w:tplc="2ADCB8CE" w:tentative="1">
      <w:start w:val="1"/>
      <w:numFmt w:val="bullet"/>
      <w:lvlText w:val="•"/>
      <w:lvlJc w:val="left"/>
      <w:pPr>
        <w:tabs>
          <w:tab w:val="num" w:pos="3600"/>
        </w:tabs>
        <w:ind w:left="3600" w:hanging="360"/>
      </w:pPr>
      <w:rPr>
        <w:rFonts w:ascii="Arial" w:hAnsi="Arial" w:hint="default"/>
      </w:rPr>
    </w:lvl>
    <w:lvl w:ilvl="5" w:tplc="6F22DFB6" w:tentative="1">
      <w:start w:val="1"/>
      <w:numFmt w:val="bullet"/>
      <w:lvlText w:val="•"/>
      <w:lvlJc w:val="left"/>
      <w:pPr>
        <w:tabs>
          <w:tab w:val="num" w:pos="4320"/>
        </w:tabs>
        <w:ind w:left="4320" w:hanging="360"/>
      </w:pPr>
      <w:rPr>
        <w:rFonts w:ascii="Arial" w:hAnsi="Arial" w:hint="default"/>
      </w:rPr>
    </w:lvl>
    <w:lvl w:ilvl="6" w:tplc="FBE65782" w:tentative="1">
      <w:start w:val="1"/>
      <w:numFmt w:val="bullet"/>
      <w:lvlText w:val="•"/>
      <w:lvlJc w:val="left"/>
      <w:pPr>
        <w:tabs>
          <w:tab w:val="num" w:pos="5040"/>
        </w:tabs>
        <w:ind w:left="5040" w:hanging="360"/>
      </w:pPr>
      <w:rPr>
        <w:rFonts w:ascii="Arial" w:hAnsi="Arial" w:hint="default"/>
      </w:rPr>
    </w:lvl>
    <w:lvl w:ilvl="7" w:tplc="77AA5356" w:tentative="1">
      <w:start w:val="1"/>
      <w:numFmt w:val="bullet"/>
      <w:lvlText w:val="•"/>
      <w:lvlJc w:val="left"/>
      <w:pPr>
        <w:tabs>
          <w:tab w:val="num" w:pos="5760"/>
        </w:tabs>
        <w:ind w:left="5760" w:hanging="360"/>
      </w:pPr>
      <w:rPr>
        <w:rFonts w:ascii="Arial" w:hAnsi="Arial" w:hint="default"/>
      </w:rPr>
    </w:lvl>
    <w:lvl w:ilvl="8" w:tplc="737A86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335879"/>
    <w:multiLevelType w:val="hybridMultilevel"/>
    <w:tmpl w:val="D38422C6"/>
    <w:lvl w:ilvl="0" w:tplc="1062FABE">
      <w:start w:val="1"/>
      <w:numFmt w:val="bullet"/>
      <w:lvlText w:val="-"/>
      <w:lvlJc w:val="left"/>
      <w:pPr>
        <w:ind w:left="1068" w:hanging="360"/>
      </w:pPr>
      <w:rPr>
        <w:rFonts w:ascii="Times New Roman" w:eastAsiaTheme="minorHAnsi" w:hAnsi="Times New Roman" w:cs="Times New Roman" w:hint="default"/>
      </w:rPr>
    </w:lvl>
    <w:lvl w:ilvl="1" w:tplc="380C0003" w:tentative="1">
      <w:start w:val="1"/>
      <w:numFmt w:val="bullet"/>
      <w:lvlText w:val="o"/>
      <w:lvlJc w:val="left"/>
      <w:pPr>
        <w:ind w:left="1788" w:hanging="360"/>
      </w:pPr>
      <w:rPr>
        <w:rFonts w:ascii="Courier New" w:hAnsi="Courier New" w:cs="Courier New" w:hint="default"/>
      </w:rPr>
    </w:lvl>
    <w:lvl w:ilvl="2" w:tplc="380C0005" w:tentative="1">
      <w:start w:val="1"/>
      <w:numFmt w:val="bullet"/>
      <w:lvlText w:val=""/>
      <w:lvlJc w:val="left"/>
      <w:pPr>
        <w:ind w:left="2508" w:hanging="360"/>
      </w:pPr>
      <w:rPr>
        <w:rFonts w:ascii="Wingdings" w:hAnsi="Wingdings" w:hint="default"/>
      </w:rPr>
    </w:lvl>
    <w:lvl w:ilvl="3" w:tplc="380C0001" w:tentative="1">
      <w:start w:val="1"/>
      <w:numFmt w:val="bullet"/>
      <w:lvlText w:val=""/>
      <w:lvlJc w:val="left"/>
      <w:pPr>
        <w:ind w:left="3228" w:hanging="360"/>
      </w:pPr>
      <w:rPr>
        <w:rFonts w:ascii="Symbol" w:hAnsi="Symbol" w:hint="default"/>
      </w:rPr>
    </w:lvl>
    <w:lvl w:ilvl="4" w:tplc="380C0003" w:tentative="1">
      <w:start w:val="1"/>
      <w:numFmt w:val="bullet"/>
      <w:lvlText w:val="o"/>
      <w:lvlJc w:val="left"/>
      <w:pPr>
        <w:ind w:left="3948" w:hanging="360"/>
      </w:pPr>
      <w:rPr>
        <w:rFonts w:ascii="Courier New" w:hAnsi="Courier New" w:cs="Courier New" w:hint="default"/>
      </w:rPr>
    </w:lvl>
    <w:lvl w:ilvl="5" w:tplc="380C0005" w:tentative="1">
      <w:start w:val="1"/>
      <w:numFmt w:val="bullet"/>
      <w:lvlText w:val=""/>
      <w:lvlJc w:val="left"/>
      <w:pPr>
        <w:ind w:left="4668" w:hanging="360"/>
      </w:pPr>
      <w:rPr>
        <w:rFonts w:ascii="Wingdings" w:hAnsi="Wingdings" w:hint="default"/>
      </w:rPr>
    </w:lvl>
    <w:lvl w:ilvl="6" w:tplc="380C0001" w:tentative="1">
      <w:start w:val="1"/>
      <w:numFmt w:val="bullet"/>
      <w:lvlText w:val=""/>
      <w:lvlJc w:val="left"/>
      <w:pPr>
        <w:ind w:left="5388" w:hanging="360"/>
      </w:pPr>
      <w:rPr>
        <w:rFonts w:ascii="Symbol" w:hAnsi="Symbol" w:hint="default"/>
      </w:rPr>
    </w:lvl>
    <w:lvl w:ilvl="7" w:tplc="380C0003" w:tentative="1">
      <w:start w:val="1"/>
      <w:numFmt w:val="bullet"/>
      <w:lvlText w:val="o"/>
      <w:lvlJc w:val="left"/>
      <w:pPr>
        <w:ind w:left="6108" w:hanging="360"/>
      </w:pPr>
      <w:rPr>
        <w:rFonts w:ascii="Courier New" w:hAnsi="Courier New" w:cs="Courier New" w:hint="default"/>
      </w:rPr>
    </w:lvl>
    <w:lvl w:ilvl="8" w:tplc="380C0005" w:tentative="1">
      <w:start w:val="1"/>
      <w:numFmt w:val="bullet"/>
      <w:lvlText w:val=""/>
      <w:lvlJc w:val="left"/>
      <w:pPr>
        <w:ind w:left="6828" w:hanging="360"/>
      </w:pPr>
      <w:rPr>
        <w:rFonts w:ascii="Wingdings" w:hAnsi="Wingdings" w:hint="default"/>
      </w:rPr>
    </w:lvl>
  </w:abstractNum>
  <w:abstractNum w:abstractNumId="3" w15:restartNumberingAfterBreak="0">
    <w:nsid w:val="1B93008B"/>
    <w:multiLevelType w:val="hybridMultilevel"/>
    <w:tmpl w:val="F2B25EA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2264" w:hanging="360"/>
      </w:pPr>
      <w:rPr>
        <w:rFonts w:ascii="Courier New" w:hAnsi="Courier New" w:cs="Courier New" w:hint="default"/>
      </w:rPr>
    </w:lvl>
    <w:lvl w:ilvl="2" w:tplc="040C0005" w:tentative="1">
      <w:start w:val="1"/>
      <w:numFmt w:val="bullet"/>
      <w:lvlText w:val=""/>
      <w:lvlJc w:val="left"/>
      <w:pPr>
        <w:ind w:left="2984" w:hanging="360"/>
      </w:pPr>
      <w:rPr>
        <w:rFonts w:ascii="Wingdings" w:hAnsi="Wingdings" w:hint="default"/>
      </w:rPr>
    </w:lvl>
    <w:lvl w:ilvl="3" w:tplc="040C0001" w:tentative="1">
      <w:start w:val="1"/>
      <w:numFmt w:val="bullet"/>
      <w:lvlText w:val=""/>
      <w:lvlJc w:val="left"/>
      <w:pPr>
        <w:ind w:left="3704" w:hanging="360"/>
      </w:pPr>
      <w:rPr>
        <w:rFonts w:ascii="Symbol" w:hAnsi="Symbol" w:hint="default"/>
      </w:rPr>
    </w:lvl>
    <w:lvl w:ilvl="4" w:tplc="040C0003" w:tentative="1">
      <w:start w:val="1"/>
      <w:numFmt w:val="bullet"/>
      <w:lvlText w:val="o"/>
      <w:lvlJc w:val="left"/>
      <w:pPr>
        <w:ind w:left="4424" w:hanging="360"/>
      </w:pPr>
      <w:rPr>
        <w:rFonts w:ascii="Courier New" w:hAnsi="Courier New" w:cs="Courier New" w:hint="default"/>
      </w:rPr>
    </w:lvl>
    <w:lvl w:ilvl="5" w:tplc="040C0005" w:tentative="1">
      <w:start w:val="1"/>
      <w:numFmt w:val="bullet"/>
      <w:lvlText w:val=""/>
      <w:lvlJc w:val="left"/>
      <w:pPr>
        <w:ind w:left="5144" w:hanging="360"/>
      </w:pPr>
      <w:rPr>
        <w:rFonts w:ascii="Wingdings" w:hAnsi="Wingdings" w:hint="default"/>
      </w:rPr>
    </w:lvl>
    <w:lvl w:ilvl="6" w:tplc="040C0001" w:tentative="1">
      <w:start w:val="1"/>
      <w:numFmt w:val="bullet"/>
      <w:lvlText w:val=""/>
      <w:lvlJc w:val="left"/>
      <w:pPr>
        <w:ind w:left="5864" w:hanging="360"/>
      </w:pPr>
      <w:rPr>
        <w:rFonts w:ascii="Symbol" w:hAnsi="Symbol" w:hint="default"/>
      </w:rPr>
    </w:lvl>
    <w:lvl w:ilvl="7" w:tplc="040C0003" w:tentative="1">
      <w:start w:val="1"/>
      <w:numFmt w:val="bullet"/>
      <w:lvlText w:val="o"/>
      <w:lvlJc w:val="left"/>
      <w:pPr>
        <w:ind w:left="6584" w:hanging="360"/>
      </w:pPr>
      <w:rPr>
        <w:rFonts w:ascii="Courier New" w:hAnsi="Courier New" w:cs="Courier New" w:hint="default"/>
      </w:rPr>
    </w:lvl>
    <w:lvl w:ilvl="8" w:tplc="040C0005" w:tentative="1">
      <w:start w:val="1"/>
      <w:numFmt w:val="bullet"/>
      <w:lvlText w:val=""/>
      <w:lvlJc w:val="left"/>
      <w:pPr>
        <w:ind w:left="7304" w:hanging="360"/>
      </w:pPr>
      <w:rPr>
        <w:rFonts w:ascii="Wingdings" w:hAnsi="Wingdings" w:hint="default"/>
      </w:rPr>
    </w:lvl>
  </w:abstractNum>
  <w:abstractNum w:abstractNumId="4" w15:restartNumberingAfterBreak="0">
    <w:nsid w:val="24E363F8"/>
    <w:multiLevelType w:val="hybridMultilevel"/>
    <w:tmpl w:val="F010390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36F87A2E"/>
    <w:multiLevelType w:val="hybridMultilevel"/>
    <w:tmpl w:val="275E8ED6"/>
    <w:lvl w:ilvl="0" w:tplc="D438EE4A">
      <w:start w:val="1"/>
      <w:numFmt w:val="bullet"/>
      <w:lvlText w:val="-"/>
      <w:lvlJc w:val="left"/>
      <w:pPr>
        <w:ind w:left="1068" w:hanging="360"/>
      </w:pPr>
      <w:rPr>
        <w:rFonts w:ascii="Times New Roman" w:eastAsiaTheme="minorHAnsi" w:hAnsi="Times New Roman" w:cs="Times New Roman" w:hint="default"/>
      </w:rPr>
    </w:lvl>
    <w:lvl w:ilvl="1" w:tplc="380C0003" w:tentative="1">
      <w:start w:val="1"/>
      <w:numFmt w:val="bullet"/>
      <w:lvlText w:val="o"/>
      <w:lvlJc w:val="left"/>
      <w:pPr>
        <w:ind w:left="1788" w:hanging="360"/>
      </w:pPr>
      <w:rPr>
        <w:rFonts w:ascii="Courier New" w:hAnsi="Courier New" w:cs="Courier New" w:hint="default"/>
      </w:rPr>
    </w:lvl>
    <w:lvl w:ilvl="2" w:tplc="380C0005" w:tentative="1">
      <w:start w:val="1"/>
      <w:numFmt w:val="bullet"/>
      <w:lvlText w:val=""/>
      <w:lvlJc w:val="left"/>
      <w:pPr>
        <w:ind w:left="2508" w:hanging="360"/>
      </w:pPr>
      <w:rPr>
        <w:rFonts w:ascii="Wingdings" w:hAnsi="Wingdings" w:hint="default"/>
      </w:rPr>
    </w:lvl>
    <w:lvl w:ilvl="3" w:tplc="380C0001" w:tentative="1">
      <w:start w:val="1"/>
      <w:numFmt w:val="bullet"/>
      <w:lvlText w:val=""/>
      <w:lvlJc w:val="left"/>
      <w:pPr>
        <w:ind w:left="3228" w:hanging="360"/>
      </w:pPr>
      <w:rPr>
        <w:rFonts w:ascii="Symbol" w:hAnsi="Symbol" w:hint="default"/>
      </w:rPr>
    </w:lvl>
    <w:lvl w:ilvl="4" w:tplc="380C0003" w:tentative="1">
      <w:start w:val="1"/>
      <w:numFmt w:val="bullet"/>
      <w:lvlText w:val="o"/>
      <w:lvlJc w:val="left"/>
      <w:pPr>
        <w:ind w:left="3948" w:hanging="360"/>
      </w:pPr>
      <w:rPr>
        <w:rFonts w:ascii="Courier New" w:hAnsi="Courier New" w:cs="Courier New" w:hint="default"/>
      </w:rPr>
    </w:lvl>
    <w:lvl w:ilvl="5" w:tplc="380C0005" w:tentative="1">
      <w:start w:val="1"/>
      <w:numFmt w:val="bullet"/>
      <w:lvlText w:val=""/>
      <w:lvlJc w:val="left"/>
      <w:pPr>
        <w:ind w:left="4668" w:hanging="360"/>
      </w:pPr>
      <w:rPr>
        <w:rFonts w:ascii="Wingdings" w:hAnsi="Wingdings" w:hint="default"/>
      </w:rPr>
    </w:lvl>
    <w:lvl w:ilvl="6" w:tplc="380C0001" w:tentative="1">
      <w:start w:val="1"/>
      <w:numFmt w:val="bullet"/>
      <w:lvlText w:val=""/>
      <w:lvlJc w:val="left"/>
      <w:pPr>
        <w:ind w:left="5388" w:hanging="360"/>
      </w:pPr>
      <w:rPr>
        <w:rFonts w:ascii="Symbol" w:hAnsi="Symbol" w:hint="default"/>
      </w:rPr>
    </w:lvl>
    <w:lvl w:ilvl="7" w:tplc="380C0003" w:tentative="1">
      <w:start w:val="1"/>
      <w:numFmt w:val="bullet"/>
      <w:lvlText w:val="o"/>
      <w:lvlJc w:val="left"/>
      <w:pPr>
        <w:ind w:left="6108" w:hanging="360"/>
      </w:pPr>
      <w:rPr>
        <w:rFonts w:ascii="Courier New" w:hAnsi="Courier New" w:cs="Courier New" w:hint="default"/>
      </w:rPr>
    </w:lvl>
    <w:lvl w:ilvl="8" w:tplc="380C0005" w:tentative="1">
      <w:start w:val="1"/>
      <w:numFmt w:val="bullet"/>
      <w:lvlText w:val=""/>
      <w:lvlJc w:val="left"/>
      <w:pPr>
        <w:ind w:left="6828" w:hanging="360"/>
      </w:pPr>
      <w:rPr>
        <w:rFonts w:ascii="Wingdings" w:hAnsi="Wingdings" w:hint="default"/>
      </w:rPr>
    </w:lvl>
  </w:abstractNum>
  <w:abstractNum w:abstractNumId="6" w15:restartNumberingAfterBreak="0">
    <w:nsid w:val="3B0C0963"/>
    <w:multiLevelType w:val="hybridMultilevel"/>
    <w:tmpl w:val="68EEFD6A"/>
    <w:lvl w:ilvl="0" w:tplc="EDFEC678">
      <w:start w:val="1"/>
      <w:numFmt w:val="decimal"/>
      <w:lvlText w:val="%1-"/>
      <w:lvlJc w:val="left"/>
      <w:pPr>
        <w:ind w:left="1080" w:hanging="360"/>
      </w:pPr>
      <w:rPr>
        <w:rFonts w:hint="default"/>
      </w:rPr>
    </w:lvl>
    <w:lvl w:ilvl="1" w:tplc="380C0019" w:tentative="1">
      <w:start w:val="1"/>
      <w:numFmt w:val="lowerLetter"/>
      <w:lvlText w:val="%2."/>
      <w:lvlJc w:val="left"/>
      <w:pPr>
        <w:ind w:left="1800" w:hanging="360"/>
      </w:pPr>
    </w:lvl>
    <w:lvl w:ilvl="2" w:tplc="380C001B" w:tentative="1">
      <w:start w:val="1"/>
      <w:numFmt w:val="lowerRoman"/>
      <w:lvlText w:val="%3."/>
      <w:lvlJc w:val="right"/>
      <w:pPr>
        <w:ind w:left="2520" w:hanging="180"/>
      </w:pPr>
    </w:lvl>
    <w:lvl w:ilvl="3" w:tplc="380C000F" w:tentative="1">
      <w:start w:val="1"/>
      <w:numFmt w:val="decimal"/>
      <w:lvlText w:val="%4."/>
      <w:lvlJc w:val="left"/>
      <w:pPr>
        <w:ind w:left="3240" w:hanging="360"/>
      </w:pPr>
    </w:lvl>
    <w:lvl w:ilvl="4" w:tplc="380C0019" w:tentative="1">
      <w:start w:val="1"/>
      <w:numFmt w:val="lowerLetter"/>
      <w:lvlText w:val="%5."/>
      <w:lvlJc w:val="left"/>
      <w:pPr>
        <w:ind w:left="3960" w:hanging="360"/>
      </w:pPr>
    </w:lvl>
    <w:lvl w:ilvl="5" w:tplc="380C001B" w:tentative="1">
      <w:start w:val="1"/>
      <w:numFmt w:val="lowerRoman"/>
      <w:lvlText w:val="%6."/>
      <w:lvlJc w:val="right"/>
      <w:pPr>
        <w:ind w:left="4680" w:hanging="180"/>
      </w:pPr>
    </w:lvl>
    <w:lvl w:ilvl="6" w:tplc="380C000F" w:tentative="1">
      <w:start w:val="1"/>
      <w:numFmt w:val="decimal"/>
      <w:lvlText w:val="%7."/>
      <w:lvlJc w:val="left"/>
      <w:pPr>
        <w:ind w:left="5400" w:hanging="360"/>
      </w:pPr>
    </w:lvl>
    <w:lvl w:ilvl="7" w:tplc="380C0019" w:tentative="1">
      <w:start w:val="1"/>
      <w:numFmt w:val="lowerLetter"/>
      <w:lvlText w:val="%8."/>
      <w:lvlJc w:val="left"/>
      <w:pPr>
        <w:ind w:left="6120" w:hanging="360"/>
      </w:pPr>
    </w:lvl>
    <w:lvl w:ilvl="8" w:tplc="380C001B" w:tentative="1">
      <w:start w:val="1"/>
      <w:numFmt w:val="lowerRoman"/>
      <w:lvlText w:val="%9."/>
      <w:lvlJc w:val="right"/>
      <w:pPr>
        <w:ind w:left="6840" w:hanging="180"/>
      </w:pPr>
    </w:lvl>
  </w:abstractNum>
  <w:abstractNum w:abstractNumId="7" w15:restartNumberingAfterBreak="0">
    <w:nsid w:val="56C51B99"/>
    <w:multiLevelType w:val="hybridMultilevel"/>
    <w:tmpl w:val="076C02E4"/>
    <w:lvl w:ilvl="0" w:tplc="330A72F0">
      <w:start w:val="1"/>
      <w:numFmt w:val="upperRoman"/>
      <w:lvlText w:val="%1-"/>
      <w:lvlJc w:val="left"/>
      <w:pPr>
        <w:ind w:left="1196" w:hanging="721"/>
      </w:pPr>
      <w:rPr>
        <w:rFonts w:ascii="Arial" w:eastAsia="Arial" w:hAnsi="Arial" w:cs="Arial" w:hint="default"/>
        <w:b/>
        <w:bCs/>
        <w:color w:val="1F497D"/>
        <w:spacing w:val="0"/>
        <w:w w:val="100"/>
        <w:sz w:val="22"/>
        <w:szCs w:val="22"/>
        <w:lang w:val="fr-FR" w:eastAsia="fr-FR" w:bidi="fr-FR"/>
      </w:rPr>
    </w:lvl>
    <w:lvl w:ilvl="1" w:tplc="E1D8D026">
      <w:start w:val="1"/>
      <w:numFmt w:val="decimal"/>
      <w:lvlText w:val="%2."/>
      <w:lvlJc w:val="left"/>
      <w:pPr>
        <w:ind w:left="1556" w:hanging="360"/>
      </w:pPr>
      <w:rPr>
        <w:rFonts w:ascii="Arial" w:eastAsia="Arial" w:hAnsi="Arial" w:cs="Arial" w:hint="default"/>
        <w:b/>
        <w:bCs/>
        <w:spacing w:val="-1"/>
        <w:w w:val="100"/>
        <w:sz w:val="22"/>
        <w:szCs w:val="22"/>
        <w:lang w:val="fr-FR" w:eastAsia="fr-FR" w:bidi="fr-FR"/>
      </w:rPr>
    </w:lvl>
    <w:lvl w:ilvl="2" w:tplc="F6D84398">
      <w:start w:val="1"/>
      <w:numFmt w:val="lowerLetter"/>
      <w:lvlText w:val="%3."/>
      <w:lvlJc w:val="left"/>
      <w:pPr>
        <w:ind w:left="1891" w:hanging="360"/>
      </w:pPr>
      <w:rPr>
        <w:rFonts w:ascii="Arial" w:eastAsia="Arial" w:hAnsi="Arial" w:cs="Arial" w:hint="default"/>
        <w:spacing w:val="-1"/>
        <w:w w:val="100"/>
        <w:sz w:val="22"/>
        <w:szCs w:val="22"/>
        <w:lang w:val="fr-FR" w:eastAsia="fr-FR" w:bidi="fr-FR"/>
      </w:rPr>
    </w:lvl>
    <w:lvl w:ilvl="3" w:tplc="93165E64">
      <w:numFmt w:val="bullet"/>
      <w:lvlText w:val="•"/>
      <w:lvlJc w:val="left"/>
      <w:pPr>
        <w:ind w:left="2825" w:hanging="360"/>
      </w:pPr>
      <w:rPr>
        <w:rFonts w:hint="default"/>
        <w:lang w:val="fr-FR" w:eastAsia="fr-FR" w:bidi="fr-FR"/>
      </w:rPr>
    </w:lvl>
    <w:lvl w:ilvl="4" w:tplc="97EE18D2">
      <w:numFmt w:val="bullet"/>
      <w:lvlText w:val="•"/>
      <w:lvlJc w:val="left"/>
      <w:pPr>
        <w:ind w:left="3751" w:hanging="360"/>
      </w:pPr>
      <w:rPr>
        <w:rFonts w:hint="default"/>
        <w:lang w:val="fr-FR" w:eastAsia="fr-FR" w:bidi="fr-FR"/>
      </w:rPr>
    </w:lvl>
    <w:lvl w:ilvl="5" w:tplc="A9849E40">
      <w:numFmt w:val="bullet"/>
      <w:lvlText w:val="•"/>
      <w:lvlJc w:val="left"/>
      <w:pPr>
        <w:ind w:left="4677" w:hanging="360"/>
      </w:pPr>
      <w:rPr>
        <w:rFonts w:hint="default"/>
        <w:lang w:val="fr-FR" w:eastAsia="fr-FR" w:bidi="fr-FR"/>
      </w:rPr>
    </w:lvl>
    <w:lvl w:ilvl="6" w:tplc="A8AE8976">
      <w:numFmt w:val="bullet"/>
      <w:lvlText w:val="•"/>
      <w:lvlJc w:val="left"/>
      <w:pPr>
        <w:ind w:left="5603" w:hanging="360"/>
      </w:pPr>
      <w:rPr>
        <w:rFonts w:hint="default"/>
        <w:lang w:val="fr-FR" w:eastAsia="fr-FR" w:bidi="fr-FR"/>
      </w:rPr>
    </w:lvl>
    <w:lvl w:ilvl="7" w:tplc="FE825F7C">
      <w:numFmt w:val="bullet"/>
      <w:lvlText w:val="•"/>
      <w:lvlJc w:val="left"/>
      <w:pPr>
        <w:ind w:left="6529" w:hanging="360"/>
      </w:pPr>
      <w:rPr>
        <w:rFonts w:hint="default"/>
        <w:lang w:val="fr-FR" w:eastAsia="fr-FR" w:bidi="fr-FR"/>
      </w:rPr>
    </w:lvl>
    <w:lvl w:ilvl="8" w:tplc="898EB092">
      <w:numFmt w:val="bullet"/>
      <w:lvlText w:val="•"/>
      <w:lvlJc w:val="left"/>
      <w:pPr>
        <w:ind w:left="7454" w:hanging="360"/>
      </w:pPr>
      <w:rPr>
        <w:rFonts w:hint="default"/>
        <w:lang w:val="fr-FR" w:eastAsia="fr-FR" w:bidi="fr-FR"/>
      </w:rPr>
    </w:lvl>
  </w:abstractNum>
  <w:abstractNum w:abstractNumId="8" w15:restartNumberingAfterBreak="0">
    <w:nsid w:val="60142D56"/>
    <w:multiLevelType w:val="multilevel"/>
    <w:tmpl w:val="1522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11634"/>
    <w:multiLevelType w:val="hybridMultilevel"/>
    <w:tmpl w:val="199853CC"/>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2"/>
  </w:num>
  <w:num w:numId="5">
    <w:abstractNumId w:val="1"/>
  </w:num>
  <w:num w:numId="6">
    <w:abstractNumId w:val="8"/>
  </w:num>
  <w:num w:numId="7">
    <w:abstractNumId w:val="4"/>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EF"/>
    <w:rsid w:val="001C5CCD"/>
    <w:rsid w:val="001F5CB2"/>
    <w:rsid w:val="0025210D"/>
    <w:rsid w:val="00305747"/>
    <w:rsid w:val="00426565"/>
    <w:rsid w:val="0043555D"/>
    <w:rsid w:val="0053772E"/>
    <w:rsid w:val="0057196D"/>
    <w:rsid w:val="005A290C"/>
    <w:rsid w:val="005D5E0F"/>
    <w:rsid w:val="005D7442"/>
    <w:rsid w:val="005F4DA5"/>
    <w:rsid w:val="006168C9"/>
    <w:rsid w:val="0079405F"/>
    <w:rsid w:val="007C5788"/>
    <w:rsid w:val="007F18E3"/>
    <w:rsid w:val="00842B11"/>
    <w:rsid w:val="008967E6"/>
    <w:rsid w:val="00904D58"/>
    <w:rsid w:val="00982939"/>
    <w:rsid w:val="00996113"/>
    <w:rsid w:val="009D3A10"/>
    <w:rsid w:val="009F7ADE"/>
    <w:rsid w:val="00A34B07"/>
    <w:rsid w:val="00BC0188"/>
    <w:rsid w:val="00BD6FEF"/>
    <w:rsid w:val="00BE3C51"/>
    <w:rsid w:val="00C51663"/>
    <w:rsid w:val="00D83A77"/>
    <w:rsid w:val="00D95E43"/>
    <w:rsid w:val="00E14821"/>
    <w:rsid w:val="00E15D4F"/>
    <w:rsid w:val="00E27755"/>
    <w:rsid w:val="00E53EBA"/>
    <w:rsid w:val="00E6164C"/>
    <w:rsid w:val="00F5409B"/>
    <w:rsid w:val="00FA60C9"/>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D927"/>
  <w15:chartTrackingRefBased/>
  <w15:docId w15:val="{A13BF1A4-79BB-410A-A5F5-3FC25B10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5F"/>
    <w:pPr>
      <w:ind w:left="720"/>
      <w:contextualSpacing/>
    </w:pPr>
  </w:style>
  <w:style w:type="paragraph" w:styleId="EndnoteText">
    <w:name w:val="endnote text"/>
    <w:basedOn w:val="Normal"/>
    <w:link w:val="EndnoteTextChar"/>
    <w:uiPriority w:val="99"/>
    <w:semiHidden/>
    <w:unhideWhenUsed/>
    <w:rsid w:val="00D83A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3A77"/>
    <w:rPr>
      <w:sz w:val="20"/>
      <w:szCs w:val="20"/>
    </w:rPr>
  </w:style>
  <w:style w:type="character" w:styleId="EndnoteReference">
    <w:name w:val="endnote reference"/>
    <w:basedOn w:val="DefaultParagraphFont"/>
    <w:uiPriority w:val="99"/>
    <w:semiHidden/>
    <w:unhideWhenUsed/>
    <w:rsid w:val="00D83A77"/>
    <w:rPr>
      <w:vertAlign w:val="superscript"/>
    </w:rPr>
  </w:style>
  <w:style w:type="paragraph" w:styleId="FootnoteText">
    <w:name w:val="footnote text"/>
    <w:basedOn w:val="Normal"/>
    <w:link w:val="FootnoteTextChar"/>
    <w:uiPriority w:val="99"/>
    <w:semiHidden/>
    <w:unhideWhenUsed/>
    <w:rsid w:val="00BC0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188"/>
    <w:rPr>
      <w:sz w:val="20"/>
      <w:szCs w:val="20"/>
    </w:rPr>
  </w:style>
  <w:style w:type="character" w:styleId="FootnoteReference">
    <w:name w:val="footnote reference"/>
    <w:basedOn w:val="DefaultParagraphFont"/>
    <w:uiPriority w:val="99"/>
    <w:semiHidden/>
    <w:unhideWhenUsed/>
    <w:rsid w:val="00BC0188"/>
    <w:rPr>
      <w:vertAlign w:val="superscript"/>
    </w:rPr>
  </w:style>
  <w:style w:type="paragraph" w:styleId="NormalWeb">
    <w:name w:val="Normal (Web)"/>
    <w:basedOn w:val="Normal"/>
    <w:uiPriority w:val="99"/>
    <w:semiHidden/>
    <w:unhideWhenUsed/>
    <w:rsid w:val="00305747"/>
    <w:pPr>
      <w:spacing w:before="100" w:beforeAutospacing="1" w:after="100" w:afterAutospacing="1" w:line="240" w:lineRule="auto"/>
    </w:pPr>
    <w:rPr>
      <w:rFonts w:ascii="Times New Roman" w:eastAsia="Times New Roman" w:hAnsi="Times New Roman" w:cs="Times New Roman"/>
      <w:sz w:val="24"/>
      <w:szCs w:val="24"/>
      <w:lang w:eastAsia="fr-MA"/>
    </w:rPr>
  </w:style>
  <w:style w:type="character" w:styleId="Strong">
    <w:name w:val="Strong"/>
    <w:basedOn w:val="DefaultParagraphFont"/>
    <w:uiPriority w:val="22"/>
    <w:qFormat/>
    <w:rsid w:val="00305747"/>
    <w:rPr>
      <w:b/>
      <w:bCs/>
    </w:rPr>
  </w:style>
  <w:style w:type="paragraph" w:styleId="BalloonText">
    <w:name w:val="Balloon Text"/>
    <w:basedOn w:val="Normal"/>
    <w:link w:val="BalloonTextChar"/>
    <w:uiPriority w:val="99"/>
    <w:semiHidden/>
    <w:unhideWhenUsed/>
    <w:rsid w:val="001F5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CB2"/>
    <w:rPr>
      <w:rFonts w:ascii="Segoe UI" w:hAnsi="Segoe UI" w:cs="Segoe UI"/>
      <w:sz w:val="18"/>
      <w:szCs w:val="18"/>
    </w:rPr>
  </w:style>
  <w:style w:type="character" w:styleId="Hyperlink">
    <w:name w:val="Hyperlink"/>
    <w:basedOn w:val="DefaultParagraphFont"/>
    <w:uiPriority w:val="99"/>
    <w:unhideWhenUsed/>
    <w:rsid w:val="00904D58"/>
    <w:rPr>
      <w:color w:val="0563C1" w:themeColor="hyperlink"/>
      <w:u w:val="single"/>
    </w:rPr>
  </w:style>
  <w:style w:type="paragraph" w:styleId="BodyText">
    <w:name w:val="Body Text"/>
    <w:basedOn w:val="Normal"/>
    <w:link w:val="BodyTextChar"/>
    <w:uiPriority w:val="1"/>
    <w:qFormat/>
    <w:rsid w:val="00904D58"/>
    <w:pPr>
      <w:widowControl w:val="0"/>
      <w:autoSpaceDE w:val="0"/>
      <w:autoSpaceDN w:val="0"/>
      <w:spacing w:after="0" w:line="240" w:lineRule="auto"/>
    </w:pPr>
    <w:rPr>
      <w:rFonts w:ascii="Arial" w:eastAsia="Arial" w:hAnsi="Arial" w:cs="Arial"/>
      <w:lang w:val="fr-FR" w:eastAsia="fr-FR" w:bidi="fr-FR"/>
    </w:rPr>
  </w:style>
  <w:style w:type="character" w:customStyle="1" w:styleId="BodyTextChar">
    <w:name w:val="Body Text Char"/>
    <w:basedOn w:val="DefaultParagraphFont"/>
    <w:link w:val="BodyText"/>
    <w:uiPriority w:val="1"/>
    <w:rsid w:val="00904D58"/>
    <w:rPr>
      <w:rFonts w:ascii="Arial" w:eastAsia="Arial" w:hAnsi="Arial" w:cs="Arial"/>
      <w:lang w:val="fr-FR" w:eastAsia="fr-FR" w:bidi="fr-FR"/>
    </w:rPr>
  </w:style>
  <w:style w:type="paragraph" w:customStyle="1" w:styleId="Heading11">
    <w:name w:val="Heading 11"/>
    <w:basedOn w:val="Normal"/>
    <w:uiPriority w:val="1"/>
    <w:qFormat/>
    <w:rsid w:val="00904D58"/>
    <w:pPr>
      <w:widowControl w:val="0"/>
      <w:autoSpaceDE w:val="0"/>
      <w:autoSpaceDN w:val="0"/>
      <w:spacing w:after="0" w:line="240" w:lineRule="auto"/>
      <w:ind w:left="1556" w:hanging="720"/>
      <w:outlineLvl w:val="1"/>
    </w:pPr>
    <w:rPr>
      <w:rFonts w:ascii="Arial" w:eastAsia="Arial" w:hAnsi="Arial" w:cs="Arial"/>
      <w:b/>
      <w:bCs/>
      <w:u w:val="single" w:color="000000"/>
      <w:lang w:val="fr-FR" w:eastAsia="fr-FR" w:bidi="fr-FR"/>
    </w:rPr>
  </w:style>
  <w:style w:type="paragraph" w:customStyle="1" w:styleId="Normal1">
    <w:name w:val="Normal1"/>
    <w:rsid w:val="00904D58"/>
    <w:pPr>
      <w:pBdr>
        <w:top w:val="nil"/>
        <w:left w:val="nil"/>
        <w:bottom w:val="nil"/>
        <w:right w:val="nil"/>
        <w:between w:val="nil"/>
      </w:pBdr>
      <w:spacing w:after="200" w:line="240" w:lineRule="auto"/>
    </w:pPr>
    <w:rPr>
      <w:rFonts w:ascii="Calibri" w:eastAsia="Calibri" w:hAnsi="Calibri" w:cs="Calibri"/>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6949">
      <w:bodyDiv w:val="1"/>
      <w:marLeft w:val="0"/>
      <w:marRight w:val="0"/>
      <w:marTop w:val="0"/>
      <w:marBottom w:val="0"/>
      <w:divBdr>
        <w:top w:val="none" w:sz="0" w:space="0" w:color="auto"/>
        <w:left w:val="none" w:sz="0" w:space="0" w:color="auto"/>
        <w:bottom w:val="none" w:sz="0" w:space="0" w:color="auto"/>
        <w:right w:val="none" w:sz="0" w:space="0" w:color="auto"/>
      </w:divBdr>
    </w:div>
    <w:div w:id="1648708729">
      <w:bodyDiv w:val="1"/>
      <w:marLeft w:val="0"/>
      <w:marRight w:val="0"/>
      <w:marTop w:val="0"/>
      <w:marBottom w:val="0"/>
      <w:divBdr>
        <w:top w:val="none" w:sz="0" w:space="0" w:color="auto"/>
        <w:left w:val="none" w:sz="0" w:space="0" w:color="auto"/>
        <w:bottom w:val="none" w:sz="0" w:space="0" w:color="auto"/>
        <w:right w:val="none" w:sz="0" w:space="0" w:color="auto"/>
      </w:divBdr>
      <w:divsChild>
        <w:div w:id="207886921">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kel@unf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0CD5D-E5CE-4C75-BF2A-8AB58247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1539</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2020-10-01T16:19:00Z</cp:lastPrinted>
  <dcterms:created xsi:type="dcterms:W3CDTF">2020-10-01T16:21:00Z</dcterms:created>
  <dcterms:modified xsi:type="dcterms:W3CDTF">2020-10-01T16:21:00Z</dcterms:modified>
</cp:coreProperties>
</file>